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34" w:rsidRPr="00855464" w:rsidRDefault="00741C34" w:rsidP="00741C34">
      <w:pPr>
        <w:jc w:val="both"/>
        <w:rPr>
          <w:rFonts w:ascii="Verdana" w:hAnsi="Verdana"/>
          <w:b/>
          <w:bCs/>
          <w:color w:val="7030A0"/>
          <w:sz w:val="22"/>
          <w:szCs w:val="20"/>
          <w:lang w:val="en-US"/>
        </w:rPr>
      </w:pPr>
      <w:bookmarkStart w:id="0" w:name="_GoBack"/>
      <w:proofErr w:type="spellStart"/>
      <w:r w:rsidRPr="00855464">
        <w:rPr>
          <w:rFonts w:ascii="Verdana" w:hAnsi="Verdana"/>
          <w:b/>
          <w:bCs/>
          <w:color w:val="7030A0"/>
          <w:sz w:val="22"/>
          <w:szCs w:val="20"/>
          <w:lang w:val="en-US"/>
        </w:rPr>
        <w:t>Natixis</w:t>
      </w:r>
      <w:proofErr w:type="spellEnd"/>
      <w:r w:rsidRPr="00855464">
        <w:rPr>
          <w:rFonts w:ascii="Verdana" w:hAnsi="Verdana"/>
          <w:b/>
          <w:bCs/>
          <w:color w:val="7030A0"/>
          <w:sz w:val="22"/>
          <w:szCs w:val="20"/>
          <w:lang w:val="en-US"/>
        </w:rPr>
        <w:t xml:space="preserve"> Graduate Program</w:t>
      </w:r>
    </w:p>
    <w:bookmarkEnd w:id="0"/>
    <w:p w:rsidR="00741C34" w:rsidRPr="00855464" w:rsidRDefault="00741C34" w:rsidP="00741C34">
      <w:pPr>
        <w:jc w:val="both"/>
        <w:rPr>
          <w:rFonts w:ascii="Verdana" w:hAnsi="Verdana"/>
          <w:b/>
          <w:bCs/>
          <w:color w:val="7030A0"/>
          <w:sz w:val="22"/>
          <w:szCs w:val="20"/>
          <w:lang w:val="en-US"/>
        </w:rPr>
      </w:pPr>
      <w:r w:rsidRPr="00855464">
        <w:rPr>
          <w:rFonts w:ascii="Verdana" w:hAnsi="Verdana"/>
          <w:b/>
          <w:bCs/>
          <w:color w:val="7030A0"/>
          <w:sz w:val="22"/>
          <w:szCs w:val="20"/>
          <w:lang w:val="en-US"/>
        </w:rPr>
        <w:t>Application period: March 16th to April 17th 2015</w:t>
      </w:r>
    </w:p>
    <w:p w:rsidR="00741C34" w:rsidRPr="00855464" w:rsidRDefault="00741C34" w:rsidP="00741C34">
      <w:pPr>
        <w:jc w:val="both"/>
        <w:rPr>
          <w:rFonts w:ascii="Verdana" w:hAnsi="Verdana"/>
          <w:b/>
          <w:bCs/>
          <w:color w:val="7030A0"/>
          <w:sz w:val="20"/>
          <w:szCs w:val="20"/>
          <w:lang w:val="en-US"/>
        </w:rPr>
      </w:pPr>
    </w:p>
    <w:p w:rsidR="00741C34" w:rsidRPr="00855464" w:rsidRDefault="00741C34" w:rsidP="00741C34">
      <w:pPr>
        <w:jc w:val="both"/>
        <w:rPr>
          <w:rFonts w:ascii="Verdana" w:hAnsi="Verdana"/>
          <w:b/>
          <w:bCs/>
          <w:sz w:val="20"/>
          <w:szCs w:val="20"/>
          <w:lang w:val="en-US"/>
        </w:rPr>
      </w:pPr>
    </w:p>
    <w:p w:rsidR="00741C34" w:rsidRPr="00855464" w:rsidRDefault="00741C34" w:rsidP="00741C34">
      <w:pPr>
        <w:jc w:val="both"/>
        <w:rPr>
          <w:rFonts w:ascii="Verdana" w:hAnsi="Verdana"/>
          <w:b/>
          <w:bCs/>
          <w:sz w:val="18"/>
          <w:szCs w:val="18"/>
          <w:lang w:val="en-US"/>
        </w:rPr>
      </w:pPr>
      <w:proofErr w:type="spellStart"/>
      <w:r w:rsidRPr="00855464">
        <w:rPr>
          <w:rFonts w:ascii="Verdana" w:hAnsi="Verdana"/>
          <w:b/>
          <w:bCs/>
          <w:sz w:val="18"/>
          <w:szCs w:val="18"/>
          <w:lang w:val="en-US"/>
        </w:rPr>
        <w:t>Natixis</w:t>
      </w:r>
      <w:proofErr w:type="spellEnd"/>
      <w:r w:rsidRPr="00855464">
        <w:rPr>
          <w:rFonts w:ascii="Verdana" w:hAnsi="Verdana"/>
          <w:b/>
          <w:bCs/>
          <w:sz w:val="18"/>
          <w:szCs w:val="18"/>
          <w:lang w:val="en-US"/>
        </w:rPr>
        <w:t xml:space="preserve"> is launching a pan European Graduate Program </w:t>
      </w:r>
    </w:p>
    <w:p w:rsidR="00741C34" w:rsidRPr="00855464" w:rsidRDefault="00741C34" w:rsidP="00741C34">
      <w:pPr>
        <w:jc w:val="both"/>
        <w:rPr>
          <w:rFonts w:ascii="Verdana" w:eastAsia="Times New Roman" w:hAnsi="Verdana"/>
          <w:sz w:val="18"/>
          <w:szCs w:val="18"/>
          <w:lang w:val="en-US"/>
        </w:rPr>
      </w:pPr>
    </w:p>
    <w:p w:rsidR="00741C34" w:rsidRPr="00855464" w:rsidRDefault="00741C34" w:rsidP="00741C34">
      <w:pPr>
        <w:jc w:val="both"/>
        <w:rPr>
          <w:rFonts w:ascii="Verdana" w:hAnsi="Verdana"/>
          <w:sz w:val="18"/>
          <w:szCs w:val="18"/>
          <w:lang w:val="en-US"/>
        </w:rPr>
      </w:pPr>
      <w:r w:rsidRPr="00855464">
        <w:rPr>
          <w:rFonts w:ascii="Verdana" w:hAnsi="Verdana"/>
          <w:sz w:val="18"/>
          <w:szCs w:val="18"/>
          <w:lang w:val="en-US"/>
        </w:rPr>
        <w:t xml:space="preserve">Have you </w:t>
      </w:r>
      <w:r w:rsidRPr="00855464">
        <w:rPr>
          <w:rFonts w:ascii="Verdana" w:hAnsi="Verdana"/>
          <w:b/>
          <w:bCs/>
          <w:sz w:val="18"/>
          <w:szCs w:val="18"/>
          <w:lang w:val="en-US"/>
        </w:rPr>
        <w:t>graduated from a top-ranked European University, Engineering or Business school</w:t>
      </w:r>
      <w:r w:rsidRPr="00855464">
        <w:rPr>
          <w:rFonts w:ascii="Verdana" w:hAnsi="Verdana"/>
          <w:sz w:val="18"/>
          <w:szCs w:val="18"/>
          <w:lang w:val="en-US"/>
        </w:rPr>
        <w:t xml:space="preserve">? Do you wish to join a large banking group which offers you the opportunity of a challenging and international career? </w:t>
      </w:r>
      <w:r w:rsidRPr="00855464">
        <w:rPr>
          <w:rFonts w:ascii="Verdana" w:hAnsi="Verdana"/>
          <w:b/>
          <w:bCs/>
          <w:sz w:val="18"/>
          <w:szCs w:val="18"/>
          <w:lang w:val="en-US"/>
        </w:rPr>
        <w:t>Join us!</w:t>
      </w:r>
    </w:p>
    <w:p w:rsidR="00741C34" w:rsidRPr="00855464" w:rsidRDefault="00741C34" w:rsidP="00741C34">
      <w:pPr>
        <w:jc w:val="both"/>
        <w:rPr>
          <w:rFonts w:ascii="Verdana" w:hAnsi="Verdana"/>
          <w:sz w:val="18"/>
          <w:szCs w:val="18"/>
          <w:lang w:val="en-US"/>
        </w:rPr>
      </w:pPr>
    </w:p>
    <w:p w:rsidR="00741C34" w:rsidRPr="00855464" w:rsidRDefault="00741C34" w:rsidP="00741C34">
      <w:pPr>
        <w:jc w:val="both"/>
        <w:rPr>
          <w:rFonts w:ascii="Verdana" w:hAnsi="Verdana"/>
          <w:sz w:val="18"/>
          <w:szCs w:val="18"/>
          <w:lang w:val="en-US"/>
        </w:rPr>
      </w:pPr>
      <w:r w:rsidRPr="00855464">
        <w:rPr>
          <w:rFonts w:ascii="Verdana" w:hAnsi="Verdana"/>
          <w:sz w:val="18"/>
          <w:szCs w:val="18"/>
          <w:lang w:val="en-US"/>
        </w:rPr>
        <w:t xml:space="preserve">During the </w:t>
      </w:r>
      <w:r w:rsidRPr="00855464">
        <w:rPr>
          <w:rFonts w:ascii="Verdana" w:hAnsi="Verdana"/>
          <w:b/>
          <w:bCs/>
          <w:sz w:val="18"/>
          <w:szCs w:val="18"/>
          <w:lang w:val="en-US"/>
        </w:rPr>
        <w:t>18-month Graduate Program,</w:t>
      </w:r>
      <w:r w:rsidRPr="00855464">
        <w:rPr>
          <w:rFonts w:ascii="Verdana" w:hAnsi="Verdana"/>
          <w:sz w:val="18"/>
          <w:szCs w:val="18"/>
          <w:lang w:val="en-US"/>
        </w:rPr>
        <w:t xml:space="preserve"> you will gain hands-on experience in different investment banking businesses in 3 European countries. You will build up your knowledge of </w:t>
      </w:r>
      <w:proofErr w:type="spellStart"/>
      <w:r w:rsidRPr="00855464">
        <w:rPr>
          <w:rFonts w:ascii="Verdana" w:hAnsi="Verdana"/>
          <w:sz w:val="18"/>
          <w:szCs w:val="18"/>
          <w:lang w:val="en-US"/>
        </w:rPr>
        <w:t>Natixis</w:t>
      </w:r>
      <w:proofErr w:type="spellEnd"/>
      <w:r w:rsidRPr="00855464">
        <w:rPr>
          <w:rFonts w:ascii="Verdana" w:hAnsi="Verdana"/>
          <w:sz w:val="18"/>
          <w:szCs w:val="18"/>
          <w:lang w:val="en-US"/>
        </w:rPr>
        <w:t xml:space="preserve"> </w:t>
      </w:r>
      <w:r>
        <w:rPr>
          <w:rFonts w:ascii="Verdana" w:hAnsi="Verdana"/>
          <w:sz w:val="18"/>
          <w:szCs w:val="18"/>
          <w:lang w:val="en-US"/>
        </w:rPr>
        <w:t>CIB</w:t>
      </w:r>
      <w:r w:rsidRPr="00855464">
        <w:rPr>
          <w:rFonts w:ascii="Verdana" w:hAnsi="Verdana"/>
          <w:sz w:val="18"/>
          <w:szCs w:val="18"/>
          <w:lang w:val="en-US"/>
        </w:rPr>
        <w:t xml:space="preserve"> strategy and network with international teams of banking experts.</w:t>
      </w:r>
    </w:p>
    <w:p w:rsidR="00741C34" w:rsidRPr="00855464" w:rsidRDefault="00741C34" w:rsidP="00741C34">
      <w:pPr>
        <w:jc w:val="both"/>
        <w:rPr>
          <w:rFonts w:ascii="Verdana" w:hAnsi="Verdana"/>
          <w:sz w:val="18"/>
          <w:szCs w:val="18"/>
          <w:lang w:val="en-US"/>
        </w:rPr>
      </w:pPr>
    </w:p>
    <w:p w:rsidR="00741C34" w:rsidRPr="00855464" w:rsidRDefault="00741C34" w:rsidP="00741C34">
      <w:pPr>
        <w:jc w:val="both"/>
        <w:rPr>
          <w:rFonts w:ascii="Verdana" w:hAnsi="Verdana"/>
          <w:sz w:val="18"/>
          <w:szCs w:val="18"/>
          <w:lang w:val="en-US"/>
        </w:rPr>
      </w:pPr>
      <w:r w:rsidRPr="00855464">
        <w:rPr>
          <w:rFonts w:ascii="Verdana" w:hAnsi="Verdana"/>
          <w:sz w:val="18"/>
          <w:szCs w:val="18"/>
          <w:lang w:val="en-US"/>
        </w:rPr>
        <w:t xml:space="preserve">Over </w:t>
      </w:r>
      <w:r w:rsidRPr="00855464">
        <w:rPr>
          <w:rFonts w:ascii="Verdana" w:hAnsi="Verdana"/>
          <w:b/>
          <w:bCs/>
          <w:sz w:val="18"/>
          <w:szCs w:val="18"/>
          <w:lang w:val="en-US"/>
        </w:rPr>
        <w:t>three six-month placements</w:t>
      </w:r>
      <w:r w:rsidRPr="00855464">
        <w:rPr>
          <w:rFonts w:ascii="Verdana" w:hAnsi="Verdana"/>
          <w:sz w:val="18"/>
          <w:szCs w:val="18"/>
          <w:lang w:val="en-US"/>
        </w:rPr>
        <w:t xml:space="preserve">, you will receive training in all of our CIB activities (Trading, Coverage &amp; Advisory and Structured Finance), firstly in </w:t>
      </w:r>
      <w:r w:rsidRPr="00855464">
        <w:rPr>
          <w:rFonts w:ascii="Verdana" w:hAnsi="Verdana"/>
          <w:b/>
          <w:bCs/>
          <w:sz w:val="18"/>
          <w:szCs w:val="18"/>
          <w:lang w:val="en-US"/>
        </w:rPr>
        <w:t>London</w:t>
      </w:r>
      <w:r w:rsidRPr="00855464">
        <w:rPr>
          <w:rFonts w:ascii="Verdana" w:hAnsi="Verdana"/>
          <w:sz w:val="18"/>
          <w:szCs w:val="18"/>
          <w:lang w:val="en-US"/>
        </w:rPr>
        <w:t xml:space="preserve"> before moving to one of our platforms in </w:t>
      </w:r>
      <w:r w:rsidRPr="00855464">
        <w:rPr>
          <w:rFonts w:ascii="Verdana" w:hAnsi="Verdana"/>
          <w:b/>
          <w:bCs/>
          <w:sz w:val="18"/>
          <w:szCs w:val="18"/>
          <w:lang w:val="en-US"/>
        </w:rPr>
        <w:t>Frankfurt, Madrid or Milan</w:t>
      </w:r>
      <w:r w:rsidRPr="00855464">
        <w:rPr>
          <w:rFonts w:ascii="Verdana" w:hAnsi="Verdana"/>
          <w:sz w:val="18"/>
          <w:szCs w:val="18"/>
          <w:lang w:val="en-US"/>
        </w:rPr>
        <w:t xml:space="preserve"> with a final six-month placement in </w:t>
      </w:r>
      <w:r w:rsidRPr="00855464">
        <w:rPr>
          <w:rFonts w:ascii="Verdana" w:hAnsi="Verdana"/>
          <w:b/>
          <w:bCs/>
          <w:sz w:val="18"/>
          <w:szCs w:val="18"/>
          <w:lang w:val="en-US"/>
        </w:rPr>
        <w:t>Paris</w:t>
      </w:r>
      <w:r w:rsidRPr="00855464">
        <w:rPr>
          <w:rFonts w:ascii="Verdana" w:hAnsi="Verdana"/>
          <w:sz w:val="18"/>
          <w:szCs w:val="18"/>
          <w:lang w:val="en-US"/>
        </w:rPr>
        <w:t>.</w:t>
      </w:r>
    </w:p>
    <w:p w:rsidR="00741C34" w:rsidRPr="00855464" w:rsidRDefault="00741C34" w:rsidP="00741C34">
      <w:pPr>
        <w:jc w:val="both"/>
        <w:rPr>
          <w:rFonts w:ascii="Verdana" w:hAnsi="Verdana"/>
          <w:sz w:val="18"/>
          <w:szCs w:val="18"/>
          <w:lang w:val="en-US"/>
        </w:rPr>
      </w:pPr>
    </w:p>
    <w:p w:rsidR="00741C34" w:rsidRPr="00855464" w:rsidRDefault="00741C34" w:rsidP="00741C34">
      <w:pPr>
        <w:jc w:val="both"/>
        <w:rPr>
          <w:rFonts w:ascii="Verdana" w:hAnsi="Verdana"/>
          <w:sz w:val="18"/>
          <w:szCs w:val="18"/>
          <w:lang w:val="en-US"/>
        </w:rPr>
      </w:pPr>
      <w:r w:rsidRPr="00855464">
        <w:rPr>
          <w:rFonts w:ascii="Verdana" w:hAnsi="Verdana"/>
          <w:sz w:val="18"/>
          <w:szCs w:val="18"/>
          <w:lang w:val="en-US"/>
        </w:rPr>
        <w:t>We are looking for commitment, team spirit and flexibility. You will be liaising with management, with the support of highly experienced managers; our objective is that you feel valued as a fully integrated member of our team.</w:t>
      </w:r>
    </w:p>
    <w:p w:rsidR="00741C34" w:rsidRPr="00855464" w:rsidRDefault="00741C34" w:rsidP="00741C34">
      <w:pPr>
        <w:jc w:val="both"/>
        <w:rPr>
          <w:rFonts w:ascii="Verdana" w:hAnsi="Verdana"/>
          <w:sz w:val="18"/>
          <w:szCs w:val="18"/>
          <w:lang w:val="en-US"/>
        </w:rPr>
      </w:pPr>
    </w:p>
    <w:p w:rsidR="00741C34" w:rsidRPr="00855464" w:rsidRDefault="00741C34" w:rsidP="00741C34">
      <w:pPr>
        <w:jc w:val="both"/>
        <w:rPr>
          <w:rFonts w:ascii="Verdana" w:hAnsi="Verdana"/>
          <w:sz w:val="18"/>
          <w:szCs w:val="18"/>
          <w:lang w:val="en-US"/>
        </w:rPr>
      </w:pPr>
      <w:r w:rsidRPr="00855464">
        <w:rPr>
          <w:rFonts w:ascii="Verdana" w:hAnsi="Verdana"/>
          <w:sz w:val="18"/>
          <w:szCs w:val="18"/>
          <w:lang w:val="en-US"/>
        </w:rPr>
        <w:t>As well as benefiting from technical and operational training, you will have the opportunity to obtain first class professional qualifications (CFA).</w:t>
      </w:r>
    </w:p>
    <w:p w:rsidR="00741C34" w:rsidRDefault="00741C34" w:rsidP="00741C34">
      <w:pPr>
        <w:jc w:val="both"/>
        <w:rPr>
          <w:rFonts w:ascii="Verdana" w:hAnsi="Verdana"/>
          <w:sz w:val="20"/>
          <w:szCs w:val="20"/>
          <w:lang w:val="en-US"/>
        </w:rPr>
      </w:pPr>
    </w:p>
    <w:p w:rsidR="00741C34" w:rsidRDefault="00741C34" w:rsidP="00741C34">
      <w:pPr>
        <w:jc w:val="both"/>
        <w:rPr>
          <w:rFonts w:ascii="Verdana" w:hAnsi="Verdana"/>
          <w:b/>
          <w:sz w:val="20"/>
          <w:szCs w:val="20"/>
          <w:lang w:val="en-US"/>
        </w:rPr>
      </w:pPr>
    </w:p>
    <w:p w:rsidR="00741C34" w:rsidRPr="00855464" w:rsidRDefault="00741C34" w:rsidP="00741C34">
      <w:pPr>
        <w:rPr>
          <w:rFonts w:ascii="Verdana" w:hAnsi="Verdana"/>
          <w:i/>
          <w:color w:val="7030A0"/>
          <w:sz w:val="18"/>
          <w:szCs w:val="18"/>
          <w:highlight w:val="yellow"/>
          <w:lang w:val="en-US"/>
        </w:rPr>
      </w:pPr>
    </w:p>
    <w:p w:rsidR="00741C34" w:rsidRPr="006335EB" w:rsidRDefault="00AF6A02" w:rsidP="00741C34">
      <w:pPr>
        <w:jc w:val="both"/>
        <w:rPr>
          <w:rFonts w:ascii="Verdana" w:hAnsi="Verdana"/>
          <w:b/>
          <w:i/>
          <w:color w:val="7030A0"/>
          <w:sz w:val="18"/>
          <w:szCs w:val="18"/>
          <w:lang w:val="en-US"/>
        </w:rPr>
      </w:pPr>
      <w:r>
        <w:rPr>
          <w:rFonts w:ascii="Verdana" w:hAnsi="Verdana"/>
          <w:i/>
          <w:noProof/>
          <w:color w:val="7030A0"/>
          <w:sz w:val="18"/>
          <w:szCs w:val="18"/>
          <w:lang w:val="it-IT" w:eastAsia="it-IT"/>
        </w:rPr>
        <w:drawing>
          <wp:anchor distT="0" distB="0" distL="114300" distR="114300" simplePos="0" relativeHeight="251661312" behindDoc="1" locked="0" layoutInCell="1" allowOverlap="1">
            <wp:simplePos x="0" y="0"/>
            <wp:positionH relativeFrom="column">
              <wp:posOffset>1905</wp:posOffset>
            </wp:positionH>
            <wp:positionV relativeFrom="paragraph">
              <wp:posOffset>1905</wp:posOffset>
            </wp:positionV>
            <wp:extent cx="779780" cy="928370"/>
            <wp:effectExtent l="0" t="0" r="1270" b="5080"/>
            <wp:wrapTight wrapText="bothSides">
              <wp:wrapPolygon edited="0">
                <wp:start x="0" y="0"/>
                <wp:lineTo x="0" y="21275"/>
                <wp:lineTo x="21107" y="21275"/>
                <wp:lineTo x="2110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_DSC6723.JPG"/>
                    <pic:cNvPicPr/>
                  </pic:nvPicPr>
                  <pic:blipFill rotWithShape="1">
                    <a:blip r:embed="rId6" cstate="print">
                      <a:extLst>
                        <a:ext uri="{28A0092B-C50C-407E-A947-70E740481C1C}">
                          <a14:useLocalDpi xmlns:a14="http://schemas.microsoft.com/office/drawing/2010/main" val="0"/>
                        </a:ext>
                      </a:extLst>
                    </a:blip>
                    <a:srcRect b="20881"/>
                    <a:stretch/>
                  </pic:blipFill>
                  <pic:spPr bwMode="auto">
                    <a:xfrm>
                      <a:off x="0" y="0"/>
                      <a:ext cx="779780" cy="928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1C34" w:rsidRPr="00855464">
        <w:rPr>
          <w:rFonts w:ascii="Verdana" w:hAnsi="Verdana"/>
          <w:i/>
          <w:color w:val="7030A0"/>
          <w:sz w:val="18"/>
          <w:szCs w:val="18"/>
          <w:lang w:val="en-US"/>
        </w:rPr>
        <w:t>“</w:t>
      </w:r>
      <w:proofErr w:type="spellStart"/>
      <w:r w:rsidR="00741C34" w:rsidRPr="00855464">
        <w:rPr>
          <w:rFonts w:ascii="Verdana" w:hAnsi="Verdana"/>
          <w:i/>
          <w:color w:val="7030A0"/>
          <w:sz w:val="18"/>
          <w:szCs w:val="18"/>
          <w:lang w:val="en-US"/>
        </w:rPr>
        <w:t>Natixis</w:t>
      </w:r>
      <w:proofErr w:type="spellEnd"/>
      <w:r w:rsidR="00741C34" w:rsidRPr="00855464">
        <w:rPr>
          <w:rFonts w:ascii="Verdana" w:hAnsi="Verdana"/>
          <w:i/>
          <w:color w:val="7030A0"/>
          <w:sz w:val="18"/>
          <w:szCs w:val="18"/>
          <w:lang w:val="en-US"/>
        </w:rPr>
        <w:t xml:space="preserve"> will train and recruit top graduates from Europe’s leading Universities, Business and Engineering schools. The 18 month scheme is designed around three distinct on-the-job assignments in various locations and business lines: Capital Markets, Financing, Coverage &amp; Advisory and Global Transaction Banking. This 360° mobility, both across businesses and locations, will develop our next generation of global managers”, said </w:t>
      </w:r>
      <w:r w:rsidR="00741C34" w:rsidRPr="006335EB">
        <w:rPr>
          <w:rFonts w:ascii="Verdana" w:hAnsi="Verdana"/>
          <w:b/>
          <w:i/>
          <w:color w:val="7030A0"/>
          <w:sz w:val="18"/>
          <w:szCs w:val="18"/>
          <w:lang w:val="en-US"/>
        </w:rPr>
        <w:t xml:space="preserve">Cécile </w:t>
      </w:r>
      <w:proofErr w:type="spellStart"/>
      <w:r w:rsidR="00741C34" w:rsidRPr="006335EB">
        <w:rPr>
          <w:rFonts w:ascii="Verdana" w:hAnsi="Verdana"/>
          <w:b/>
          <w:i/>
          <w:color w:val="7030A0"/>
          <w:sz w:val="18"/>
          <w:szCs w:val="18"/>
          <w:lang w:val="en-US"/>
        </w:rPr>
        <w:t>Tricon-Bossard</w:t>
      </w:r>
      <w:proofErr w:type="spellEnd"/>
      <w:r w:rsidR="00741C34" w:rsidRPr="006335EB">
        <w:rPr>
          <w:rFonts w:ascii="Verdana" w:hAnsi="Verdana"/>
          <w:b/>
          <w:i/>
          <w:color w:val="7030A0"/>
          <w:sz w:val="18"/>
          <w:szCs w:val="18"/>
          <w:lang w:val="en-US"/>
        </w:rPr>
        <w:t>, Deputy Head of Human Resources</w:t>
      </w:r>
    </w:p>
    <w:p w:rsidR="00741C34" w:rsidRDefault="00741C34" w:rsidP="00741C34">
      <w:pPr>
        <w:jc w:val="both"/>
        <w:rPr>
          <w:rFonts w:ascii="Verdana" w:hAnsi="Verdana"/>
          <w:i/>
          <w:color w:val="7030A0"/>
          <w:sz w:val="18"/>
          <w:szCs w:val="18"/>
          <w:lang w:val="en-US"/>
        </w:rPr>
      </w:pPr>
    </w:p>
    <w:p w:rsidR="00741C34" w:rsidRDefault="00741C34" w:rsidP="00741C34">
      <w:pPr>
        <w:jc w:val="both"/>
        <w:rPr>
          <w:rFonts w:ascii="Verdana" w:hAnsi="Verdana"/>
          <w:i/>
          <w:color w:val="7030A0"/>
          <w:sz w:val="18"/>
          <w:szCs w:val="18"/>
          <w:lang w:val="en-US"/>
        </w:rPr>
      </w:pPr>
    </w:p>
    <w:p w:rsidR="00741C34" w:rsidRPr="00855464" w:rsidRDefault="00741C34" w:rsidP="00741C34">
      <w:pPr>
        <w:rPr>
          <w:rFonts w:ascii="Verdana" w:hAnsi="Verdana"/>
          <w:b/>
          <w:sz w:val="18"/>
          <w:szCs w:val="18"/>
          <w:lang w:val="en-US"/>
        </w:rPr>
      </w:pPr>
      <w:r w:rsidRPr="00855464">
        <w:rPr>
          <w:rFonts w:ascii="Verdana" w:eastAsia="Calibri" w:hAnsi="Verdana"/>
          <w:b/>
          <w:i/>
          <w:color w:val="E3006A"/>
          <w:sz w:val="18"/>
          <w:szCs w:val="18"/>
          <w:lang w:val="en-US"/>
        </w:rPr>
        <w:t>How to apply?</w:t>
      </w:r>
    </w:p>
    <w:p w:rsidR="00741C34" w:rsidRPr="00855464" w:rsidRDefault="00741C34" w:rsidP="00741C34">
      <w:pPr>
        <w:jc w:val="both"/>
        <w:rPr>
          <w:rFonts w:ascii="Verdana" w:eastAsia="Calibri" w:hAnsi="Verdana" w:cs="Calibri"/>
          <w:sz w:val="18"/>
          <w:szCs w:val="18"/>
          <w:lang w:val="en-US"/>
        </w:rPr>
      </w:pPr>
    </w:p>
    <w:p w:rsidR="00741C34" w:rsidRPr="00855464" w:rsidRDefault="00741C34" w:rsidP="00741C34">
      <w:pPr>
        <w:numPr>
          <w:ilvl w:val="0"/>
          <w:numId w:val="1"/>
        </w:numPr>
        <w:jc w:val="both"/>
        <w:rPr>
          <w:rFonts w:ascii="Verdana" w:eastAsia="Calibri" w:hAnsi="Verdana" w:cs="Calibri"/>
          <w:sz w:val="18"/>
          <w:szCs w:val="18"/>
          <w:lang w:val="en-US"/>
        </w:rPr>
      </w:pPr>
      <w:r w:rsidRPr="00855464">
        <w:rPr>
          <w:rFonts w:ascii="Verdana" w:eastAsia="Calibri" w:hAnsi="Verdana" w:cs="Calibri"/>
          <w:sz w:val="18"/>
          <w:szCs w:val="18"/>
          <w:lang w:val="en-US"/>
        </w:rPr>
        <w:t xml:space="preserve">Send your resume and application letter from </w:t>
      </w:r>
      <w:r w:rsidRPr="00855464">
        <w:rPr>
          <w:rFonts w:ascii="Verdana" w:eastAsia="Calibri" w:hAnsi="Verdana"/>
          <w:b/>
          <w:i/>
          <w:color w:val="581D74"/>
          <w:sz w:val="18"/>
          <w:szCs w:val="18"/>
          <w:lang w:val="en-US"/>
        </w:rPr>
        <w:t>March 16</w:t>
      </w:r>
      <w:r w:rsidRPr="00855464">
        <w:rPr>
          <w:rFonts w:ascii="Verdana" w:eastAsia="Calibri" w:hAnsi="Verdana"/>
          <w:b/>
          <w:i/>
          <w:color w:val="581D74"/>
          <w:sz w:val="18"/>
          <w:szCs w:val="18"/>
          <w:vertAlign w:val="superscript"/>
          <w:lang w:val="en-US"/>
        </w:rPr>
        <w:t>th</w:t>
      </w:r>
      <w:r w:rsidRPr="00855464">
        <w:rPr>
          <w:rFonts w:ascii="Verdana" w:eastAsia="Calibri" w:hAnsi="Verdana"/>
          <w:b/>
          <w:i/>
          <w:color w:val="581D74"/>
          <w:sz w:val="18"/>
          <w:szCs w:val="18"/>
          <w:lang w:val="en-US"/>
        </w:rPr>
        <w:t xml:space="preserve">  to April 17</w:t>
      </w:r>
      <w:r w:rsidRPr="00855464">
        <w:rPr>
          <w:rFonts w:ascii="Verdana" w:eastAsia="Calibri" w:hAnsi="Verdana"/>
          <w:b/>
          <w:i/>
          <w:color w:val="581D74"/>
          <w:sz w:val="18"/>
          <w:szCs w:val="18"/>
          <w:vertAlign w:val="superscript"/>
          <w:lang w:val="en-US"/>
        </w:rPr>
        <w:t>th</w:t>
      </w:r>
      <w:r w:rsidRPr="00855464">
        <w:rPr>
          <w:rFonts w:ascii="Verdana" w:eastAsia="Calibri" w:hAnsi="Verdana"/>
          <w:b/>
          <w:i/>
          <w:color w:val="581D74"/>
          <w:sz w:val="18"/>
          <w:szCs w:val="18"/>
          <w:lang w:val="en-US"/>
        </w:rPr>
        <w:t xml:space="preserve"> </w:t>
      </w:r>
      <w:r w:rsidRPr="00855464">
        <w:rPr>
          <w:rFonts w:ascii="Verdana" w:eastAsia="Calibri" w:hAnsi="Verdana" w:cs="Calibri"/>
          <w:sz w:val="18"/>
          <w:szCs w:val="18"/>
          <w:lang w:val="en-US"/>
        </w:rPr>
        <w:t xml:space="preserve">on </w:t>
      </w:r>
      <w:hyperlink r:id="rId7" w:history="1">
        <w:r w:rsidRPr="00855464">
          <w:rPr>
            <w:rStyle w:val="Collegamentoipertestuale"/>
            <w:rFonts w:ascii="Verdana" w:eastAsia="Calibri" w:hAnsi="Verdana" w:cs="Calibri"/>
            <w:sz w:val="18"/>
            <w:szCs w:val="18"/>
            <w:lang w:val="en-US"/>
          </w:rPr>
          <w:t>www.natixis.com</w:t>
        </w:r>
      </w:hyperlink>
      <w:r w:rsidRPr="00855464">
        <w:rPr>
          <w:rFonts w:ascii="Verdana" w:eastAsia="Calibri" w:hAnsi="Verdana" w:cs="Calibri"/>
          <w:sz w:val="18"/>
          <w:szCs w:val="18"/>
          <w:lang w:val="en-US"/>
        </w:rPr>
        <w:t xml:space="preserve"> (career section) </w:t>
      </w:r>
    </w:p>
    <w:p w:rsidR="00741C34" w:rsidRPr="00855464" w:rsidRDefault="00741C34" w:rsidP="00741C34">
      <w:pPr>
        <w:jc w:val="both"/>
        <w:rPr>
          <w:rFonts w:ascii="Verdana" w:eastAsia="Calibri" w:hAnsi="Verdana" w:cs="Calibri"/>
          <w:sz w:val="18"/>
          <w:szCs w:val="18"/>
          <w:lang w:val="en-US"/>
        </w:rPr>
      </w:pPr>
    </w:p>
    <w:p w:rsidR="00741C34" w:rsidRPr="00855464" w:rsidRDefault="00741C34" w:rsidP="00741C34">
      <w:pPr>
        <w:numPr>
          <w:ilvl w:val="0"/>
          <w:numId w:val="1"/>
        </w:numPr>
        <w:jc w:val="both"/>
        <w:rPr>
          <w:rFonts w:ascii="Verdana" w:eastAsia="Calibri" w:hAnsi="Verdana" w:cs="Calibri"/>
          <w:sz w:val="18"/>
          <w:szCs w:val="18"/>
          <w:lang w:val="en-US"/>
        </w:rPr>
      </w:pPr>
      <w:r w:rsidRPr="00855464">
        <w:rPr>
          <w:rFonts w:ascii="Verdana" w:eastAsia="Calibri" w:hAnsi="Verdana" w:cs="Calibri"/>
          <w:sz w:val="18"/>
          <w:szCs w:val="18"/>
          <w:lang w:val="en-US"/>
        </w:rPr>
        <w:t xml:space="preserve">HR interviews in May will take place in nearest branch of our </w:t>
      </w:r>
      <w:proofErr w:type="spellStart"/>
      <w:r w:rsidRPr="00855464">
        <w:rPr>
          <w:rFonts w:ascii="Verdana" w:eastAsia="Calibri" w:hAnsi="Verdana" w:cs="Calibri"/>
          <w:sz w:val="18"/>
          <w:szCs w:val="18"/>
          <w:lang w:val="en-US"/>
        </w:rPr>
        <w:t>Emea</w:t>
      </w:r>
      <w:proofErr w:type="spellEnd"/>
      <w:r w:rsidRPr="00855464">
        <w:rPr>
          <w:rFonts w:ascii="Verdana" w:eastAsia="Calibri" w:hAnsi="Verdana" w:cs="Calibri"/>
          <w:sz w:val="18"/>
          <w:szCs w:val="18"/>
          <w:lang w:val="en-US"/>
        </w:rPr>
        <w:t xml:space="preserve"> </w:t>
      </w:r>
      <w:proofErr w:type="spellStart"/>
      <w:r w:rsidRPr="00855464">
        <w:rPr>
          <w:rFonts w:ascii="Verdana" w:eastAsia="Calibri" w:hAnsi="Verdana" w:cs="Calibri"/>
          <w:sz w:val="18"/>
          <w:szCs w:val="18"/>
          <w:lang w:val="en-US"/>
        </w:rPr>
        <w:t>plateform</w:t>
      </w:r>
      <w:proofErr w:type="spellEnd"/>
      <w:r w:rsidRPr="00855464">
        <w:rPr>
          <w:rFonts w:ascii="Verdana" w:eastAsia="Calibri" w:hAnsi="Verdana" w:cs="Calibri"/>
          <w:sz w:val="18"/>
          <w:szCs w:val="18"/>
          <w:lang w:val="en-US"/>
        </w:rPr>
        <w:t xml:space="preserve"> </w:t>
      </w:r>
    </w:p>
    <w:p w:rsidR="00741C34" w:rsidRPr="00855464" w:rsidRDefault="00741C34" w:rsidP="00741C34">
      <w:pPr>
        <w:pStyle w:val="Paragrafoelenco"/>
        <w:rPr>
          <w:rFonts w:ascii="Verdana" w:eastAsia="Calibri" w:hAnsi="Verdana" w:cs="Calibri"/>
          <w:sz w:val="18"/>
          <w:szCs w:val="18"/>
          <w:lang w:val="en-US"/>
        </w:rPr>
      </w:pPr>
    </w:p>
    <w:p w:rsidR="00741C34" w:rsidRPr="00855464" w:rsidRDefault="00741C34" w:rsidP="00741C34">
      <w:pPr>
        <w:numPr>
          <w:ilvl w:val="0"/>
          <w:numId w:val="1"/>
        </w:numPr>
        <w:jc w:val="both"/>
        <w:rPr>
          <w:rFonts w:ascii="Verdana" w:eastAsia="Calibri" w:hAnsi="Verdana" w:cs="Calibri"/>
          <w:sz w:val="18"/>
          <w:szCs w:val="18"/>
          <w:lang w:val="en-US"/>
        </w:rPr>
      </w:pPr>
      <w:r w:rsidRPr="00855464">
        <w:rPr>
          <w:rFonts w:ascii="Verdana" w:eastAsia="Calibri" w:hAnsi="Verdana" w:cs="Calibri"/>
          <w:sz w:val="18"/>
          <w:szCs w:val="18"/>
          <w:lang w:val="en-US"/>
        </w:rPr>
        <w:t xml:space="preserve">Interviews with managers will be held in June in London </w:t>
      </w:r>
    </w:p>
    <w:p w:rsidR="00741C34" w:rsidRPr="00855464" w:rsidRDefault="00741C34" w:rsidP="00741C34">
      <w:pPr>
        <w:jc w:val="both"/>
        <w:rPr>
          <w:rFonts w:ascii="Verdana" w:eastAsia="Calibri" w:hAnsi="Verdana" w:cs="Calibri"/>
          <w:sz w:val="18"/>
          <w:szCs w:val="18"/>
          <w:lang w:val="en-US"/>
        </w:rPr>
      </w:pPr>
    </w:p>
    <w:p w:rsidR="00741C34" w:rsidRPr="00855464" w:rsidRDefault="00741C34" w:rsidP="00741C34">
      <w:pPr>
        <w:numPr>
          <w:ilvl w:val="0"/>
          <w:numId w:val="1"/>
        </w:numPr>
        <w:jc w:val="both"/>
        <w:rPr>
          <w:rFonts w:ascii="Verdana" w:eastAsia="Calibri" w:hAnsi="Verdana" w:cs="Calibri"/>
          <w:sz w:val="18"/>
          <w:szCs w:val="18"/>
          <w:lang w:val="en-US"/>
        </w:rPr>
      </w:pPr>
      <w:r w:rsidRPr="00855464">
        <w:rPr>
          <w:rFonts w:ascii="Verdana" w:eastAsia="Calibri" w:hAnsi="Verdana" w:cs="Calibri"/>
          <w:sz w:val="18"/>
          <w:szCs w:val="18"/>
          <w:lang w:val="en-US"/>
        </w:rPr>
        <w:t>Final selection by the Jury will be disclosed in June 2015</w:t>
      </w:r>
    </w:p>
    <w:p w:rsidR="00741C34" w:rsidRPr="00855464" w:rsidRDefault="00741C34" w:rsidP="00741C34">
      <w:pPr>
        <w:jc w:val="both"/>
        <w:rPr>
          <w:rFonts w:ascii="Verdana" w:eastAsia="Calibri" w:hAnsi="Verdana" w:cs="Calibri"/>
          <w:sz w:val="18"/>
          <w:szCs w:val="18"/>
          <w:lang w:val="en-US"/>
        </w:rPr>
      </w:pPr>
    </w:p>
    <w:p w:rsidR="00741C34" w:rsidRPr="00855464" w:rsidRDefault="00741C34" w:rsidP="00741C34">
      <w:pPr>
        <w:numPr>
          <w:ilvl w:val="0"/>
          <w:numId w:val="1"/>
        </w:numPr>
        <w:jc w:val="both"/>
        <w:rPr>
          <w:rFonts w:ascii="Verdana" w:eastAsia="Calibri" w:hAnsi="Verdana" w:cs="Calibri"/>
          <w:sz w:val="18"/>
          <w:szCs w:val="18"/>
          <w:lang w:val="en-US"/>
        </w:rPr>
      </w:pPr>
      <w:r w:rsidRPr="00855464">
        <w:rPr>
          <w:rFonts w:ascii="Verdana" w:eastAsia="Calibri" w:hAnsi="Verdana" w:cs="Calibri"/>
          <w:sz w:val="18"/>
          <w:szCs w:val="18"/>
          <w:lang w:val="en-US"/>
        </w:rPr>
        <w:t>If you are selected, you will join our teams in London next September.</w:t>
      </w:r>
    </w:p>
    <w:p w:rsidR="00741C34" w:rsidRPr="00855464" w:rsidRDefault="00741C34" w:rsidP="00741C34">
      <w:pPr>
        <w:jc w:val="both"/>
        <w:rPr>
          <w:rFonts w:ascii="Verdana" w:eastAsia="Calibri" w:hAnsi="Verdana" w:cs="Calibri"/>
          <w:sz w:val="18"/>
          <w:szCs w:val="18"/>
          <w:lang w:val="en-US"/>
        </w:rPr>
      </w:pPr>
    </w:p>
    <w:p w:rsidR="00741C34" w:rsidRPr="00855464" w:rsidRDefault="00741C34" w:rsidP="00741C34">
      <w:pPr>
        <w:jc w:val="both"/>
        <w:rPr>
          <w:rFonts w:ascii="Verdana" w:eastAsia="Calibri" w:hAnsi="Verdana" w:cs="Calibri"/>
          <w:sz w:val="18"/>
          <w:szCs w:val="18"/>
          <w:lang w:val="en-US"/>
        </w:rPr>
      </w:pPr>
    </w:p>
    <w:p w:rsidR="00741C34" w:rsidRPr="00855464" w:rsidRDefault="00741C34" w:rsidP="00741C34">
      <w:pPr>
        <w:jc w:val="both"/>
        <w:rPr>
          <w:rFonts w:ascii="Verdana" w:eastAsia="Calibri" w:hAnsi="Verdana" w:cs="Calibri"/>
          <w:sz w:val="18"/>
          <w:szCs w:val="18"/>
          <w:lang w:val="en-US"/>
        </w:rPr>
      </w:pPr>
      <w:r w:rsidRPr="00855464">
        <w:rPr>
          <w:rFonts w:ascii="Verdana" w:eastAsia="Calibri" w:hAnsi="Verdana" w:cs="Calibri"/>
          <w:sz w:val="18"/>
          <w:szCs w:val="18"/>
          <w:lang w:val="en-US"/>
        </w:rPr>
        <w:t xml:space="preserve">All information on </w:t>
      </w:r>
      <w:hyperlink r:id="rId8" w:history="1">
        <w:r w:rsidRPr="00855464">
          <w:rPr>
            <w:rStyle w:val="Collegamentoipertestuale"/>
            <w:rFonts w:ascii="Verdana" w:eastAsia="Calibri" w:hAnsi="Verdana" w:cs="Calibri"/>
            <w:sz w:val="18"/>
            <w:szCs w:val="18"/>
            <w:lang w:val="en-US"/>
          </w:rPr>
          <w:t>www.natixis.com</w:t>
        </w:r>
      </w:hyperlink>
    </w:p>
    <w:p w:rsidR="00741C34" w:rsidRPr="00855464" w:rsidRDefault="00741C34" w:rsidP="00741C34">
      <w:pPr>
        <w:jc w:val="both"/>
        <w:rPr>
          <w:rFonts w:ascii="Verdana" w:eastAsia="Calibri" w:hAnsi="Verdana" w:cs="Calibri"/>
          <w:sz w:val="18"/>
          <w:szCs w:val="18"/>
          <w:lang w:val="en-US"/>
        </w:rPr>
      </w:pPr>
    </w:p>
    <w:p w:rsidR="00741C34" w:rsidRPr="00855464" w:rsidRDefault="00741C34" w:rsidP="00741C34">
      <w:pPr>
        <w:jc w:val="both"/>
        <w:rPr>
          <w:rFonts w:ascii="Verdana" w:eastAsia="Calibri" w:hAnsi="Verdana" w:cs="Calibri"/>
          <w:sz w:val="18"/>
          <w:szCs w:val="18"/>
          <w:lang w:val="en-US"/>
        </w:rPr>
      </w:pPr>
      <w:r w:rsidRPr="00855464">
        <w:rPr>
          <w:rFonts w:ascii="Verdana" w:eastAsia="Calibri" w:hAnsi="Verdana" w:cs="Calibri"/>
          <w:sz w:val="18"/>
          <w:szCs w:val="18"/>
          <w:lang w:val="en-US"/>
        </w:rPr>
        <w:t xml:space="preserve">Contacts: </w:t>
      </w:r>
      <w:hyperlink r:id="rId9" w:history="1">
        <w:r w:rsidRPr="00855464">
          <w:rPr>
            <w:rStyle w:val="Collegamentoipertestuale"/>
            <w:rFonts w:ascii="Verdana" w:eastAsia="Calibri" w:hAnsi="Verdana" w:cs="Calibri"/>
            <w:sz w:val="18"/>
            <w:szCs w:val="18"/>
            <w:lang w:val="en-US"/>
          </w:rPr>
          <w:t>graduateprogram@natixis.com</w:t>
        </w:r>
      </w:hyperlink>
    </w:p>
    <w:p w:rsidR="00741C34" w:rsidRDefault="00741C34" w:rsidP="00741C34">
      <w:pPr>
        <w:jc w:val="both"/>
        <w:rPr>
          <w:rFonts w:ascii="Verdana" w:hAnsi="Verdana"/>
          <w:i/>
          <w:color w:val="7030A0"/>
          <w:sz w:val="18"/>
          <w:szCs w:val="18"/>
          <w:lang w:val="en-US"/>
        </w:rPr>
      </w:pPr>
    </w:p>
    <w:p w:rsidR="00741C34" w:rsidRPr="00855464" w:rsidRDefault="00741C34" w:rsidP="00741C34">
      <w:pPr>
        <w:jc w:val="both"/>
        <w:rPr>
          <w:rFonts w:ascii="Verdana" w:eastAsia="Calibri" w:hAnsi="Verdana"/>
          <w:b/>
          <w:i/>
          <w:color w:val="E3006A"/>
          <w:sz w:val="18"/>
          <w:szCs w:val="18"/>
          <w:lang w:val="en-US"/>
        </w:rPr>
      </w:pPr>
      <w:r w:rsidRPr="00855464">
        <w:rPr>
          <w:rFonts w:ascii="Verdana" w:eastAsia="Calibri" w:hAnsi="Verdana"/>
          <w:b/>
          <w:i/>
          <w:color w:val="E3006A"/>
          <w:sz w:val="18"/>
          <w:szCs w:val="18"/>
          <w:lang w:val="en-US"/>
        </w:rPr>
        <w:t xml:space="preserve">Who’s </w:t>
      </w:r>
      <w:proofErr w:type="spellStart"/>
      <w:r w:rsidRPr="00855464">
        <w:rPr>
          <w:rFonts w:ascii="Verdana" w:eastAsia="Calibri" w:hAnsi="Verdana"/>
          <w:b/>
          <w:i/>
          <w:color w:val="E3006A"/>
          <w:sz w:val="18"/>
          <w:szCs w:val="18"/>
          <w:lang w:val="en-US"/>
        </w:rPr>
        <w:t>Natixis</w:t>
      </w:r>
      <w:proofErr w:type="spellEnd"/>
      <w:r w:rsidRPr="00855464">
        <w:rPr>
          <w:rFonts w:ascii="Verdana" w:eastAsia="Calibri" w:hAnsi="Verdana"/>
          <w:b/>
          <w:i/>
          <w:color w:val="E3006A"/>
          <w:sz w:val="18"/>
          <w:szCs w:val="18"/>
          <w:lang w:val="en-US"/>
        </w:rPr>
        <w:t xml:space="preserve">? </w:t>
      </w:r>
    </w:p>
    <w:p w:rsidR="00741C34" w:rsidRPr="00855464" w:rsidRDefault="00741C34" w:rsidP="00741C34">
      <w:pPr>
        <w:rPr>
          <w:rFonts w:ascii="Verdana" w:eastAsia="Times New Roman" w:hAnsi="Verdana"/>
          <w:sz w:val="18"/>
          <w:szCs w:val="18"/>
          <w:lang w:val="en-US"/>
        </w:rPr>
      </w:pPr>
    </w:p>
    <w:p w:rsidR="00741C34" w:rsidRPr="00855464" w:rsidRDefault="00741C34" w:rsidP="00741C34">
      <w:pPr>
        <w:rPr>
          <w:rFonts w:ascii="Verdana" w:hAnsi="Verdana"/>
          <w:sz w:val="18"/>
          <w:szCs w:val="18"/>
          <w:lang w:val="en-US"/>
        </w:rPr>
      </w:pPr>
      <w:r w:rsidRPr="00855464">
        <w:rPr>
          <w:rFonts w:ascii="Verdana" w:hAnsi="Verdana"/>
          <w:sz w:val="18"/>
          <w:szCs w:val="18"/>
          <w:lang w:val="en-US"/>
        </w:rPr>
        <w:t xml:space="preserve">With more than 16,000 employees, </w:t>
      </w:r>
      <w:proofErr w:type="spellStart"/>
      <w:r w:rsidRPr="00855464">
        <w:rPr>
          <w:rFonts w:ascii="Verdana" w:hAnsi="Verdana"/>
          <w:sz w:val="18"/>
          <w:szCs w:val="18"/>
          <w:lang w:val="en-US"/>
        </w:rPr>
        <w:t>Natixis</w:t>
      </w:r>
      <w:proofErr w:type="spellEnd"/>
      <w:r w:rsidRPr="00855464">
        <w:rPr>
          <w:rFonts w:ascii="Verdana" w:hAnsi="Verdana"/>
          <w:sz w:val="18"/>
          <w:szCs w:val="18"/>
          <w:lang w:val="en-US"/>
        </w:rPr>
        <w:t xml:space="preserve"> is the corporate, investment, insurance and financial services arm of </w:t>
      </w:r>
      <w:proofErr w:type="spellStart"/>
      <w:r w:rsidRPr="00855464">
        <w:rPr>
          <w:rFonts w:ascii="Verdana" w:hAnsi="Verdana"/>
          <w:sz w:val="18"/>
          <w:szCs w:val="18"/>
          <w:lang w:val="en-US"/>
        </w:rPr>
        <w:t>Groupe</w:t>
      </w:r>
      <w:proofErr w:type="spellEnd"/>
      <w:r w:rsidRPr="00855464">
        <w:rPr>
          <w:rFonts w:ascii="Verdana" w:hAnsi="Verdana"/>
          <w:sz w:val="18"/>
          <w:szCs w:val="18"/>
          <w:lang w:val="en-US"/>
        </w:rPr>
        <w:t xml:space="preserve"> BPCE, France’s second largest banking player.</w:t>
      </w:r>
    </w:p>
    <w:p w:rsidR="00741C34" w:rsidRPr="00855464" w:rsidRDefault="00741C34" w:rsidP="00741C34">
      <w:pPr>
        <w:rPr>
          <w:rFonts w:ascii="Verdana" w:hAnsi="Verdana"/>
          <w:sz w:val="18"/>
          <w:szCs w:val="18"/>
          <w:lang w:val="en-US"/>
        </w:rPr>
      </w:pPr>
    </w:p>
    <w:p w:rsidR="00741C34" w:rsidRPr="00855464" w:rsidRDefault="00741C34" w:rsidP="00741C34">
      <w:pPr>
        <w:rPr>
          <w:rFonts w:ascii="Verdana" w:hAnsi="Verdana"/>
          <w:sz w:val="18"/>
          <w:szCs w:val="18"/>
          <w:lang w:val="en-US"/>
        </w:rPr>
      </w:pPr>
      <w:r w:rsidRPr="00855464">
        <w:rPr>
          <w:rFonts w:ascii="Verdana" w:hAnsi="Verdana"/>
          <w:sz w:val="18"/>
          <w:szCs w:val="18"/>
          <w:lang w:val="en-US"/>
        </w:rPr>
        <w:t xml:space="preserve">At </w:t>
      </w:r>
      <w:proofErr w:type="spellStart"/>
      <w:r w:rsidRPr="00855464">
        <w:rPr>
          <w:rFonts w:ascii="Verdana" w:hAnsi="Verdana"/>
          <w:sz w:val="18"/>
          <w:szCs w:val="18"/>
          <w:lang w:val="en-US"/>
        </w:rPr>
        <w:t>Natixis</w:t>
      </w:r>
      <w:proofErr w:type="spellEnd"/>
      <w:r w:rsidRPr="00855464">
        <w:rPr>
          <w:rFonts w:ascii="Verdana" w:hAnsi="Verdana"/>
          <w:sz w:val="18"/>
          <w:szCs w:val="18"/>
          <w:lang w:val="en-US"/>
        </w:rPr>
        <w:t xml:space="preserve">, we advise and support our clients and their projects worldwide.  </w:t>
      </w:r>
    </w:p>
    <w:p w:rsidR="00741C34" w:rsidRPr="00855464" w:rsidRDefault="00741C34" w:rsidP="00741C34">
      <w:pPr>
        <w:rPr>
          <w:rFonts w:ascii="Verdana" w:hAnsi="Verdana"/>
          <w:sz w:val="18"/>
          <w:szCs w:val="18"/>
          <w:lang w:val="en-US"/>
        </w:rPr>
      </w:pPr>
      <w:r w:rsidRPr="00855464">
        <w:rPr>
          <w:rFonts w:ascii="Verdana" w:hAnsi="Verdana"/>
          <w:sz w:val="18"/>
          <w:szCs w:val="18"/>
          <w:lang w:val="en-US"/>
        </w:rPr>
        <w:t xml:space="preserve">We provide customized solutions to meet the specific needs of companies, financial institutions and institutional investors. We also design products and services tailored to the client base of </w:t>
      </w:r>
      <w:proofErr w:type="spellStart"/>
      <w:r w:rsidRPr="00855464">
        <w:rPr>
          <w:rFonts w:ascii="Verdana" w:hAnsi="Verdana"/>
          <w:sz w:val="18"/>
          <w:szCs w:val="18"/>
          <w:lang w:val="en-US"/>
        </w:rPr>
        <w:t>Groupe</w:t>
      </w:r>
      <w:proofErr w:type="spellEnd"/>
      <w:r w:rsidRPr="00855464">
        <w:rPr>
          <w:rFonts w:ascii="Verdana" w:hAnsi="Verdana"/>
          <w:sz w:val="18"/>
          <w:szCs w:val="18"/>
          <w:lang w:val="en-US"/>
        </w:rPr>
        <w:t xml:space="preserve"> BPCE’s two retail networks.</w:t>
      </w:r>
    </w:p>
    <w:p w:rsidR="00741C34" w:rsidRPr="00855464" w:rsidRDefault="00741C34" w:rsidP="00741C34">
      <w:pPr>
        <w:rPr>
          <w:rFonts w:ascii="Verdana" w:hAnsi="Verdana"/>
          <w:sz w:val="18"/>
          <w:szCs w:val="18"/>
          <w:lang w:val="en-US"/>
        </w:rPr>
      </w:pPr>
    </w:p>
    <w:p w:rsidR="00741C34" w:rsidRPr="00855464" w:rsidRDefault="00741C34" w:rsidP="00741C34">
      <w:pPr>
        <w:rPr>
          <w:rFonts w:ascii="Verdana" w:hAnsi="Verdana"/>
          <w:sz w:val="18"/>
          <w:szCs w:val="18"/>
          <w:lang w:val="en-US"/>
        </w:rPr>
      </w:pPr>
      <w:r w:rsidRPr="00855464">
        <w:rPr>
          <w:rFonts w:ascii="Verdana" w:hAnsi="Verdana"/>
          <w:sz w:val="18"/>
          <w:szCs w:val="18"/>
          <w:lang w:val="en-US"/>
        </w:rPr>
        <w:t xml:space="preserve">To do so, we draw on the complementary areas of expertise of our three core businesses: </w:t>
      </w:r>
      <w:r>
        <w:rPr>
          <w:rFonts w:ascii="Verdana" w:hAnsi="Verdana"/>
          <w:sz w:val="18"/>
          <w:szCs w:val="18"/>
          <w:lang w:val="en-US"/>
        </w:rPr>
        <w:t>Corporate &amp; Investment</w:t>
      </w:r>
      <w:r w:rsidRPr="00855464">
        <w:rPr>
          <w:rFonts w:ascii="Verdana" w:hAnsi="Verdana"/>
          <w:sz w:val="18"/>
          <w:szCs w:val="18"/>
          <w:lang w:val="en-US"/>
        </w:rPr>
        <w:t xml:space="preserve"> Banking, Investment Solutions &amp; Insurance and Specialized Financial Services.</w:t>
      </w:r>
    </w:p>
    <w:p w:rsidR="00741C34" w:rsidRPr="00855464" w:rsidRDefault="00741C34" w:rsidP="00741C34">
      <w:pPr>
        <w:rPr>
          <w:rFonts w:ascii="Verdana" w:hAnsi="Verdana"/>
          <w:sz w:val="18"/>
          <w:szCs w:val="18"/>
          <w:lang w:val="en-US"/>
        </w:rPr>
      </w:pPr>
    </w:p>
    <w:p w:rsidR="00741C34" w:rsidRPr="00855464" w:rsidRDefault="00741C34" w:rsidP="00741C34">
      <w:pPr>
        <w:jc w:val="both"/>
        <w:rPr>
          <w:rFonts w:ascii="Verdana" w:eastAsia="Calibri" w:hAnsi="Verdana"/>
          <w:b/>
          <w:i/>
          <w:color w:val="E3006A"/>
          <w:sz w:val="18"/>
          <w:szCs w:val="18"/>
          <w:lang w:val="en-US"/>
        </w:rPr>
      </w:pPr>
      <w:proofErr w:type="spellStart"/>
      <w:r w:rsidRPr="00855464">
        <w:rPr>
          <w:rFonts w:ascii="Verdana" w:eastAsia="Calibri" w:hAnsi="Verdana"/>
          <w:b/>
          <w:i/>
          <w:color w:val="E3006A"/>
          <w:sz w:val="18"/>
          <w:szCs w:val="18"/>
          <w:lang w:val="en-US"/>
        </w:rPr>
        <w:t>Natixis</w:t>
      </w:r>
      <w:proofErr w:type="spellEnd"/>
      <w:r w:rsidRPr="00855464">
        <w:rPr>
          <w:rFonts w:ascii="Verdana" w:eastAsia="Calibri" w:hAnsi="Verdana"/>
          <w:b/>
          <w:i/>
          <w:color w:val="E3006A"/>
          <w:sz w:val="18"/>
          <w:szCs w:val="18"/>
          <w:lang w:val="en-US"/>
        </w:rPr>
        <w:t xml:space="preserve">’ </w:t>
      </w:r>
      <w:r>
        <w:rPr>
          <w:rFonts w:ascii="Verdana" w:eastAsia="Calibri" w:hAnsi="Verdana"/>
          <w:b/>
          <w:i/>
          <w:color w:val="E3006A"/>
          <w:sz w:val="18"/>
          <w:szCs w:val="18"/>
          <w:lang w:val="en-US"/>
        </w:rPr>
        <w:t>CIB</w:t>
      </w:r>
      <w:r w:rsidRPr="00855464">
        <w:rPr>
          <w:rFonts w:ascii="Verdana" w:eastAsia="Calibri" w:hAnsi="Verdana"/>
          <w:b/>
          <w:i/>
          <w:color w:val="E3006A"/>
          <w:sz w:val="18"/>
          <w:szCs w:val="18"/>
          <w:lang w:val="en-US"/>
        </w:rPr>
        <w:t>: Client-centric expertise and talent</w:t>
      </w:r>
    </w:p>
    <w:tbl>
      <w:tblPr>
        <w:tblW w:w="0" w:type="auto"/>
        <w:tblLook w:val="04A0" w:firstRow="1" w:lastRow="0" w:firstColumn="1" w:lastColumn="0" w:noHBand="0" w:noVBand="1"/>
      </w:tblPr>
      <w:tblGrid>
        <w:gridCol w:w="9162"/>
      </w:tblGrid>
      <w:tr w:rsidR="00741C34" w:rsidRPr="006577A1" w:rsidTr="00566CDF">
        <w:tc>
          <w:tcPr>
            <w:tcW w:w="0" w:type="auto"/>
            <w:tcMar>
              <w:top w:w="15" w:type="dxa"/>
              <w:left w:w="75" w:type="dxa"/>
              <w:bottom w:w="300" w:type="dxa"/>
              <w:right w:w="15" w:type="dxa"/>
            </w:tcMar>
          </w:tcPr>
          <w:p w:rsidR="00741C34" w:rsidRPr="00855464" w:rsidRDefault="00741C34" w:rsidP="00566CDF">
            <w:pPr>
              <w:rPr>
                <w:rFonts w:ascii="Verdana" w:hAnsi="Verdana"/>
                <w:sz w:val="18"/>
                <w:szCs w:val="18"/>
                <w:lang w:val="en-US"/>
              </w:rPr>
            </w:pPr>
          </w:p>
          <w:p w:rsidR="00741C34" w:rsidRPr="00855464" w:rsidRDefault="00741C34" w:rsidP="00566CDF">
            <w:pPr>
              <w:rPr>
                <w:rFonts w:ascii="Verdana" w:hAnsi="Verdana"/>
                <w:sz w:val="18"/>
                <w:szCs w:val="18"/>
                <w:lang w:val="en-US"/>
              </w:rPr>
            </w:pPr>
            <w:proofErr w:type="spellStart"/>
            <w:r>
              <w:rPr>
                <w:rFonts w:ascii="Verdana" w:hAnsi="Verdana"/>
                <w:sz w:val="18"/>
                <w:szCs w:val="18"/>
                <w:lang w:val="en-US"/>
              </w:rPr>
              <w:t>Natixis</w:t>
            </w:r>
            <w:proofErr w:type="spellEnd"/>
            <w:r>
              <w:rPr>
                <w:rFonts w:ascii="Verdana" w:hAnsi="Verdana"/>
                <w:sz w:val="18"/>
                <w:szCs w:val="18"/>
                <w:lang w:val="en-US"/>
              </w:rPr>
              <w:t>’ CIB</w:t>
            </w:r>
            <w:r w:rsidRPr="00855464">
              <w:rPr>
                <w:rFonts w:ascii="Verdana" w:hAnsi="Verdana"/>
                <w:sz w:val="18"/>
                <w:szCs w:val="18"/>
                <w:lang w:val="en-US"/>
              </w:rPr>
              <w:t xml:space="preserve"> advises and assists companies, institutional investors, insurers, banks and public-sector organizations. We furnish a diversified array of financing solutions and provide access to capital markets. The Bank leverages the expertise and highly technical skills of its teams, and provides industry-recognized research to build innovative and mix-and-</w:t>
            </w:r>
            <w:proofErr w:type="spellStart"/>
            <w:r w:rsidRPr="00855464">
              <w:rPr>
                <w:rFonts w:ascii="Verdana" w:hAnsi="Verdana"/>
                <w:sz w:val="18"/>
                <w:szCs w:val="18"/>
                <w:lang w:val="en-US"/>
              </w:rPr>
              <w:t>matchable</w:t>
            </w:r>
            <w:proofErr w:type="spellEnd"/>
            <w:r w:rsidRPr="00855464">
              <w:rPr>
                <w:rFonts w:ascii="Verdana" w:hAnsi="Verdana"/>
                <w:sz w:val="18"/>
                <w:szCs w:val="18"/>
                <w:lang w:val="en-US"/>
              </w:rPr>
              <w:t xml:space="preserve"> solutions for all clients. </w:t>
            </w:r>
          </w:p>
        </w:tc>
      </w:tr>
      <w:tr w:rsidR="00741C34" w:rsidRPr="006577A1" w:rsidTr="00566CDF">
        <w:tc>
          <w:tcPr>
            <w:tcW w:w="0" w:type="auto"/>
            <w:tcMar>
              <w:top w:w="15" w:type="dxa"/>
              <w:left w:w="75" w:type="dxa"/>
              <w:bottom w:w="300" w:type="dxa"/>
              <w:right w:w="15" w:type="dxa"/>
            </w:tcMar>
          </w:tcPr>
          <w:p w:rsidR="00741C34" w:rsidRPr="00855464" w:rsidRDefault="00741C34" w:rsidP="00566CDF">
            <w:pPr>
              <w:rPr>
                <w:rFonts w:ascii="Verdana" w:hAnsi="Verdana"/>
                <w:b/>
                <w:sz w:val="18"/>
                <w:szCs w:val="18"/>
                <w:lang w:val="en-US"/>
              </w:rPr>
            </w:pPr>
            <w:r w:rsidRPr="00855464">
              <w:rPr>
                <w:rFonts w:ascii="Verdana" w:hAnsi="Verdana"/>
                <w:b/>
                <w:sz w:val="18"/>
                <w:szCs w:val="18"/>
                <w:lang w:val="en-US"/>
              </w:rPr>
              <w:t>Diversified and award-winning expertise:</w:t>
            </w:r>
          </w:p>
          <w:p w:rsidR="00741C34" w:rsidRPr="00855464" w:rsidRDefault="00741C34" w:rsidP="00566CDF">
            <w:pPr>
              <w:rPr>
                <w:rFonts w:ascii="Verdana" w:hAnsi="Verdana"/>
                <w:sz w:val="18"/>
                <w:szCs w:val="18"/>
                <w:lang w:val="en-US"/>
              </w:rPr>
            </w:pPr>
          </w:p>
          <w:p w:rsidR="00741C34" w:rsidRPr="00855464" w:rsidRDefault="00741C34" w:rsidP="00566CDF">
            <w:pPr>
              <w:rPr>
                <w:rFonts w:ascii="Verdana" w:hAnsi="Verdana"/>
                <w:sz w:val="18"/>
                <w:szCs w:val="18"/>
                <w:lang w:val="en-US"/>
              </w:rPr>
            </w:pPr>
            <w:r w:rsidRPr="00855464">
              <w:rPr>
                <w:rFonts w:ascii="Verdana" w:hAnsi="Verdana"/>
                <w:sz w:val="18"/>
                <w:szCs w:val="18"/>
                <w:lang w:val="en-US"/>
              </w:rPr>
              <w:t>Coverage &amp; Advisory:</w:t>
            </w:r>
          </w:p>
          <w:p w:rsidR="00741C34" w:rsidRPr="00855464" w:rsidRDefault="00741C34" w:rsidP="00741C34">
            <w:pPr>
              <w:numPr>
                <w:ilvl w:val="0"/>
                <w:numId w:val="2"/>
              </w:numPr>
              <w:rPr>
                <w:rFonts w:ascii="Verdana" w:hAnsi="Verdana"/>
                <w:sz w:val="18"/>
                <w:szCs w:val="18"/>
              </w:rPr>
            </w:pPr>
            <w:r w:rsidRPr="00855464">
              <w:rPr>
                <w:rFonts w:ascii="Verdana" w:hAnsi="Verdana"/>
                <w:sz w:val="18"/>
                <w:szCs w:val="18"/>
                <w:lang w:val="en-US"/>
              </w:rPr>
              <w:t>Coverage</w:t>
            </w:r>
          </w:p>
          <w:p w:rsidR="00741C34" w:rsidRPr="00855464" w:rsidRDefault="00741C34" w:rsidP="00741C34">
            <w:pPr>
              <w:numPr>
                <w:ilvl w:val="0"/>
                <w:numId w:val="2"/>
              </w:numPr>
              <w:rPr>
                <w:rFonts w:ascii="Verdana" w:hAnsi="Verdana"/>
                <w:sz w:val="18"/>
                <w:szCs w:val="18"/>
              </w:rPr>
            </w:pPr>
            <w:r w:rsidRPr="00855464">
              <w:rPr>
                <w:rFonts w:ascii="Verdana" w:hAnsi="Verdana"/>
                <w:sz w:val="18"/>
                <w:szCs w:val="18"/>
                <w:lang w:val="en-US"/>
              </w:rPr>
              <w:t xml:space="preserve">M&amp;A </w:t>
            </w:r>
          </w:p>
          <w:p w:rsidR="00741C34" w:rsidRPr="00855464" w:rsidRDefault="00741C34" w:rsidP="00741C34">
            <w:pPr>
              <w:numPr>
                <w:ilvl w:val="0"/>
                <w:numId w:val="2"/>
              </w:numPr>
              <w:rPr>
                <w:rFonts w:ascii="Verdana" w:hAnsi="Verdana"/>
                <w:sz w:val="18"/>
                <w:szCs w:val="18"/>
              </w:rPr>
            </w:pPr>
            <w:r w:rsidRPr="00855464">
              <w:rPr>
                <w:rFonts w:ascii="Verdana" w:hAnsi="Verdana"/>
                <w:sz w:val="18"/>
                <w:szCs w:val="18"/>
                <w:lang w:val="en-US"/>
              </w:rPr>
              <w:t>Primary Equity Markets</w:t>
            </w:r>
          </w:p>
          <w:p w:rsidR="00741C34" w:rsidRPr="00855464" w:rsidRDefault="00741C34" w:rsidP="00741C34">
            <w:pPr>
              <w:numPr>
                <w:ilvl w:val="0"/>
                <w:numId w:val="2"/>
              </w:numPr>
              <w:rPr>
                <w:rFonts w:ascii="Verdana" w:hAnsi="Verdana"/>
                <w:sz w:val="18"/>
                <w:szCs w:val="18"/>
              </w:rPr>
            </w:pPr>
            <w:r w:rsidRPr="00855464">
              <w:rPr>
                <w:rFonts w:ascii="Verdana" w:hAnsi="Verdana"/>
                <w:sz w:val="18"/>
                <w:szCs w:val="18"/>
                <w:lang w:val="en-US"/>
              </w:rPr>
              <w:t>Capital &amp; Rating Advisory</w:t>
            </w:r>
          </w:p>
          <w:p w:rsidR="00741C34" w:rsidRPr="00855464" w:rsidRDefault="00741C34" w:rsidP="00741C34">
            <w:pPr>
              <w:numPr>
                <w:ilvl w:val="0"/>
                <w:numId w:val="2"/>
              </w:numPr>
              <w:rPr>
                <w:rFonts w:ascii="Verdana" w:hAnsi="Verdana"/>
                <w:sz w:val="18"/>
                <w:szCs w:val="18"/>
              </w:rPr>
            </w:pPr>
            <w:r w:rsidRPr="00855464">
              <w:rPr>
                <w:rFonts w:ascii="Verdana" w:hAnsi="Verdana"/>
                <w:sz w:val="18"/>
                <w:szCs w:val="18"/>
                <w:lang w:val="en-US"/>
              </w:rPr>
              <w:t>Vanilla Financing</w:t>
            </w:r>
          </w:p>
          <w:p w:rsidR="00741C34" w:rsidRPr="00855464" w:rsidRDefault="00741C34" w:rsidP="00566CDF">
            <w:pPr>
              <w:rPr>
                <w:rFonts w:ascii="Verdana" w:hAnsi="Verdana"/>
                <w:sz w:val="18"/>
                <w:szCs w:val="18"/>
                <w:lang w:val="en-US"/>
              </w:rPr>
            </w:pPr>
          </w:p>
          <w:p w:rsidR="00741C34" w:rsidRPr="00855464" w:rsidRDefault="00741C34" w:rsidP="00566CDF">
            <w:pPr>
              <w:rPr>
                <w:rFonts w:ascii="Verdana" w:hAnsi="Verdana"/>
                <w:sz w:val="18"/>
                <w:szCs w:val="18"/>
                <w:lang w:val="en-US"/>
              </w:rPr>
            </w:pPr>
            <w:r w:rsidRPr="00855464">
              <w:rPr>
                <w:rFonts w:ascii="Verdana" w:hAnsi="Verdana"/>
                <w:sz w:val="18"/>
                <w:szCs w:val="18"/>
                <w:lang w:val="en-US"/>
              </w:rPr>
              <w:t>Capital Markets:</w:t>
            </w:r>
          </w:p>
          <w:p w:rsidR="00741C34" w:rsidRPr="00855464" w:rsidRDefault="00741C34" w:rsidP="00741C34">
            <w:pPr>
              <w:numPr>
                <w:ilvl w:val="0"/>
                <w:numId w:val="2"/>
              </w:numPr>
              <w:rPr>
                <w:rFonts w:ascii="Verdana" w:hAnsi="Verdana"/>
                <w:sz w:val="18"/>
                <w:szCs w:val="18"/>
              </w:rPr>
            </w:pPr>
            <w:r w:rsidRPr="00855464">
              <w:rPr>
                <w:rFonts w:ascii="Verdana" w:hAnsi="Verdana"/>
                <w:sz w:val="18"/>
                <w:szCs w:val="18"/>
                <w:lang w:val="en-US"/>
              </w:rPr>
              <w:t>Equity Markets</w:t>
            </w:r>
          </w:p>
          <w:p w:rsidR="00741C34" w:rsidRPr="00855464" w:rsidRDefault="00741C34" w:rsidP="00741C34">
            <w:pPr>
              <w:numPr>
                <w:ilvl w:val="0"/>
                <w:numId w:val="2"/>
              </w:numPr>
              <w:rPr>
                <w:rFonts w:ascii="Verdana" w:hAnsi="Verdana"/>
                <w:sz w:val="18"/>
                <w:szCs w:val="18"/>
                <w:lang w:val="en-US"/>
              </w:rPr>
            </w:pPr>
            <w:r w:rsidRPr="00855464">
              <w:rPr>
                <w:rFonts w:ascii="Verdana" w:hAnsi="Verdana"/>
                <w:sz w:val="18"/>
                <w:szCs w:val="18"/>
                <w:lang w:val="en-US"/>
              </w:rPr>
              <w:t>Fixed income, forex, commodities, treasury Markets</w:t>
            </w:r>
          </w:p>
          <w:p w:rsidR="00741C34" w:rsidRPr="00855464" w:rsidRDefault="00741C34" w:rsidP="00741C34">
            <w:pPr>
              <w:numPr>
                <w:ilvl w:val="0"/>
                <w:numId w:val="2"/>
              </w:numPr>
              <w:rPr>
                <w:rFonts w:ascii="Verdana" w:hAnsi="Verdana"/>
                <w:sz w:val="18"/>
                <w:szCs w:val="18"/>
              </w:rPr>
            </w:pPr>
            <w:r w:rsidRPr="00855464">
              <w:rPr>
                <w:rFonts w:ascii="Verdana" w:hAnsi="Verdana"/>
                <w:sz w:val="18"/>
                <w:szCs w:val="18"/>
                <w:lang w:val="en-US"/>
              </w:rPr>
              <w:t>Cross –expertise and quantitative research</w:t>
            </w:r>
          </w:p>
          <w:p w:rsidR="00741C34" w:rsidRPr="00855464" w:rsidRDefault="00741C34" w:rsidP="00566CDF">
            <w:pPr>
              <w:rPr>
                <w:rFonts w:ascii="Verdana" w:hAnsi="Verdana"/>
                <w:sz w:val="18"/>
                <w:szCs w:val="18"/>
                <w:lang w:val="en-US"/>
              </w:rPr>
            </w:pPr>
          </w:p>
          <w:p w:rsidR="00741C34" w:rsidRPr="00855464" w:rsidRDefault="00741C34" w:rsidP="00566CDF">
            <w:pPr>
              <w:rPr>
                <w:rFonts w:ascii="Verdana" w:hAnsi="Verdana"/>
                <w:sz w:val="18"/>
                <w:szCs w:val="18"/>
              </w:rPr>
            </w:pPr>
            <w:proofErr w:type="spellStart"/>
            <w:r w:rsidRPr="00855464">
              <w:rPr>
                <w:rFonts w:ascii="Verdana" w:hAnsi="Verdana"/>
                <w:sz w:val="18"/>
                <w:szCs w:val="18"/>
              </w:rPr>
              <w:t>Financing</w:t>
            </w:r>
            <w:proofErr w:type="spellEnd"/>
            <w:r w:rsidRPr="00855464">
              <w:rPr>
                <w:rFonts w:ascii="Verdana" w:hAnsi="Verdana"/>
                <w:sz w:val="18"/>
                <w:szCs w:val="18"/>
              </w:rPr>
              <w:t> :</w:t>
            </w:r>
          </w:p>
          <w:p w:rsidR="00741C34" w:rsidRPr="00855464" w:rsidRDefault="00741C34" w:rsidP="00741C34">
            <w:pPr>
              <w:numPr>
                <w:ilvl w:val="0"/>
                <w:numId w:val="2"/>
              </w:numPr>
              <w:rPr>
                <w:rFonts w:ascii="Verdana" w:hAnsi="Verdana"/>
                <w:sz w:val="18"/>
                <w:szCs w:val="18"/>
              </w:rPr>
            </w:pPr>
            <w:r w:rsidRPr="00855464">
              <w:rPr>
                <w:rFonts w:ascii="Verdana" w:hAnsi="Verdana"/>
                <w:sz w:val="18"/>
                <w:szCs w:val="18"/>
                <w:lang w:val="en-US"/>
              </w:rPr>
              <w:t xml:space="preserve">Aircraft, Export and Infrastructure Finance </w:t>
            </w:r>
          </w:p>
          <w:p w:rsidR="00741C34" w:rsidRPr="00855464" w:rsidRDefault="00741C34" w:rsidP="00741C34">
            <w:pPr>
              <w:numPr>
                <w:ilvl w:val="0"/>
                <w:numId w:val="2"/>
              </w:numPr>
              <w:rPr>
                <w:rFonts w:ascii="Verdana" w:hAnsi="Verdana"/>
                <w:sz w:val="18"/>
                <w:szCs w:val="18"/>
              </w:rPr>
            </w:pPr>
            <w:r w:rsidRPr="00855464">
              <w:rPr>
                <w:rFonts w:ascii="Verdana" w:hAnsi="Verdana"/>
                <w:sz w:val="18"/>
                <w:szCs w:val="18"/>
                <w:lang w:val="en-US"/>
              </w:rPr>
              <w:t>Energy and Commodity Finance</w:t>
            </w:r>
          </w:p>
          <w:p w:rsidR="00741C34" w:rsidRPr="00855464" w:rsidRDefault="00741C34" w:rsidP="00741C34">
            <w:pPr>
              <w:numPr>
                <w:ilvl w:val="0"/>
                <w:numId w:val="2"/>
              </w:numPr>
              <w:rPr>
                <w:rFonts w:ascii="Verdana" w:hAnsi="Verdana"/>
                <w:sz w:val="18"/>
                <w:szCs w:val="18"/>
              </w:rPr>
            </w:pPr>
            <w:r w:rsidRPr="00855464">
              <w:rPr>
                <w:rFonts w:ascii="Verdana" w:hAnsi="Verdana"/>
                <w:sz w:val="18"/>
                <w:szCs w:val="18"/>
                <w:lang w:val="en-US"/>
              </w:rPr>
              <w:t>Acquisition Finance</w:t>
            </w:r>
          </w:p>
          <w:p w:rsidR="00741C34" w:rsidRPr="00855464" w:rsidRDefault="00741C34" w:rsidP="00741C34">
            <w:pPr>
              <w:numPr>
                <w:ilvl w:val="0"/>
                <w:numId w:val="2"/>
              </w:numPr>
              <w:rPr>
                <w:rFonts w:ascii="Verdana" w:hAnsi="Verdana"/>
                <w:sz w:val="18"/>
                <w:szCs w:val="18"/>
              </w:rPr>
            </w:pPr>
            <w:r w:rsidRPr="00855464">
              <w:rPr>
                <w:rFonts w:ascii="Verdana" w:hAnsi="Verdana"/>
                <w:sz w:val="18"/>
                <w:szCs w:val="18"/>
                <w:lang w:val="en-US"/>
              </w:rPr>
              <w:t xml:space="preserve">Real Estate Finance </w:t>
            </w:r>
          </w:p>
          <w:p w:rsidR="00741C34" w:rsidRPr="00855464" w:rsidRDefault="00741C34" w:rsidP="00741C34">
            <w:pPr>
              <w:numPr>
                <w:ilvl w:val="0"/>
                <w:numId w:val="2"/>
              </w:numPr>
              <w:rPr>
                <w:rFonts w:ascii="Verdana" w:hAnsi="Verdana"/>
                <w:sz w:val="18"/>
                <w:szCs w:val="18"/>
                <w:lang w:val="en-US"/>
              </w:rPr>
            </w:pPr>
            <w:r w:rsidRPr="00855464">
              <w:rPr>
                <w:rFonts w:ascii="Verdana" w:hAnsi="Verdana"/>
                <w:sz w:val="18"/>
                <w:szCs w:val="18"/>
                <w:lang w:val="en-US"/>
              </w:rPr>
              <w:t xml:space="preserve">Equity engineering capability -financing and derivatives </w:t>
            </w:r>
          </w:p>
          <w:p w:rsidR="00741C34" w:rsidRPr="00855464" w:rsidRDefault="00741C34" w:rsidP="00566CDF">
            <w:pPr>
              <w:rPr>
                <w:rFonts w:ascii="Verdana" w:hAnsi="Verdana"/>
                <w:sz w:val="18"/>
                <w:szCs w:val="18"/>
                <w:lang w:val="en-US"/>
              </w:rPr>
            </w:pPr>
          </w:p>
          <w:p w:rsidR="00741C34" w:rsidRPr="00855464" w:rsidRDefault="00741C34" w:rsidP="00566CDF">
            <w:pPr>
              <w:rPr>
                <w:rFonts w:ascii="Verdana" w:hAnsi="Verdana"/>
                <w:sz w:val="18"/>
                <w:szCs w:val="18"/>
                <w:lang w:val="en-US"/>
              </w:rPr>
            </w:pPr>
            <w:r w:rsidRPr="00855464">
              <w:rPr>
                <w:rFonts w:ascii="Verdana" w:hAnsi="Verdana"/>
                <w:sz w:val="18"/>
                <w:szCs w:val="18"/>
                <w:lang w:val="en-US"/>
              </w:rPr>
              <w:t>Global Transaction Banking:</w:t>
            </w:r>
          </w:p>
          <w:p w:rsidR="00741C34" w:rsidRPr="00855464" w:rsidRDefault="00741C34" w:rsidP="00741C34">
            <w:pPr>
              <w:numPr>
                <w:ilvl w:val="0"/>
                <w:numId w:val="3"/>
              </w:numPr>
              <w:rPr>
                <w:rFonts w:ascii="Verdana" w:hAnsi="Verdana"/>
                <w:sz w:val="18"/>
                <w:szCs w:val="18"/>
              </w:rPr>
            </w:pPr>
            <w:r w:rsidRPr="00855464">
              <w:rPr>
                <w:rFonts w:ascii="Verdana" w:hAnsi="Verdana"/>
                <w:sz w:val="18"/>
                <w:szCs w:val="18"/>
                <w:lang w:val="en-US"/>
              </w:rPr>
              <w:t xml:space="preserve">Account and liquidity management </w:t>
            </w:r>
          </w:p>
          <w:p w:rsidR="00741C34" w:rsidRPr="00855464" w:rsidRDefault="00741C34" w:rsidP="00741C34">
            <w:pPr>
              <w:numPr>
                <w:ilvl w:val="0"/>
                <w:numId w:val="3"/>
              </w:numPr>
              <w:rPr>
                <w:rFonts w:ascii="Verdana" w:hAnsi="Verdana"/>
                <w:sz w:val="18"/>
                <w:szCs w:val="18"/>
              </w:rPr>
            </w:pPr>
            <w:r w:rsidRPr="00855464">
              <w:rPr>
                <w:rFonts w:ascii="Verdana" w:hAnsi="Verdana"/>
                <w:sz w:val="18"/>
                <w:szCs w:val="18"/>
                <w:lang w:val="en-US"/>
              </w:rPr>
              <w:t>Trade Finance</w:t>
            </w:r>
          </w:p>
          <w:p w:rsidR="00741C34" w:rsidRPr="00855464" w:rsidRDefault="00741C34" w:rsidP="00741C34">
            <w:pPr>
              <w:numPr>
                <w:ilvl w:val="0"/>
                <w:numId w:val="3"/>
              </w:numPr>
              <w:rPr>
                <w:rFonts w:ascii="Verdana" w:hAnsi="Verdana"/>
                <w:sz w:val="18"/>
                <w:szCs w:val="18"/>
              </w:rPr>
            </w:pPr>
            <w:r w:rsidRPr="00855464">
              <w:rPr>
                <w:rFonts w:ascii="Verdana" w:hAnsi="Verdana"/>
                <w:sz w:val="18"/>
                <w:szCs w:val="18"/>
                <w:lang w:val="en-US"/>
              </w:rPr>
              <w:t>Cash Management</w:t>
            </w:r>
          </w:p>
          <w:p w:rsidR="00741C34" w:rsidRPr="00855464" w:rsidRDefault="00741C34" w:rsidP="00741C34">
            <w:pPr>
              <w:numPr>
                <w:ilvl w:val="0"/>
                <w:numId w:val="3"/>
              </w:numPr>
              <w:rPr>
                <w:rFonts w:ascii="Verdana" w:hAnsi="Verdana"/>
                <w:sz w:val="18"/>
                <w:szCs w:val="18"/>
              </w:rPr>
            </w:pPr>
            <w:r w:rsidRPr="00855464">
              <w:rPr>
                <w:rFonts w:ascii="Verdana" w:hAnsi="Verdana"/>
                <w:sz w:val="18"/>
                <w:szCs w:val="18"/>
                <w:lang w:val="en-US"/>
              </w:rPr>
              <w:t>Correspondent Banking</w:t>
            </w:r>
          </w:p>
          <w:p w:rsidR="00741C34" w:rsidRPr="00855464" w:rsidRDefault="00741C34" w:rsidP="00566CDF">
            <w:pPr>
              <w:rPr>
                <w:rFonts w:ascii="Verdana" w:hAnsi="Verdana"/>
                <w:b/>
                <w:sz w:val="18"/>
                <w:szCs w:val="18"/>
                <w:lang w:val="en-US"/>
              </w:rPr>
            </w:pPr>
          </w:p>
          <w:p w:rsidR="00741C34" w:rsidRPr="00855464" w:rsidRDefault="00741C34" w:rsidP="00566CDF">
            <w:pPr>
              <w:rPr>
                <w:rFonts w:ascii="Verdana" w:hAnsi="Verdana"/>
                <w:b/>
                <w:sz w:val="18"/>
                <w:szCs w:val="18"/>
                <w:lang w:val="en-US"/>
              </w:rPr>
            </w:pPr>
            <w:r w:rsidRPr="00855464">
              <w:rPr>
                <w:rFonts w:ascii="Verdana" w:hAnsi="Verdana"/>
                <w:b/>
                <w:sz w:val="18"/>
                <w:szCs w:val="18"/>
                <w:lang w:val="en-US"/>
              </w:rPr>
              <w:t>International presence:</w:t>
            </w:r>
          </w:p>
          <w:p w:rsidR="00741C34" w:rsidRPr="00855464" w:rsidRDefault="00741C34" w:rsidP="00566CDF">
            <w:pPr>
              <w:rPr>
                <w:rFonts w:ascii="Verdana" w:hAnsi="Verdana"/>
                <w:b/>
                <w:sz w:val="18"/>
                <w:szCs w:val="18"/>
                <w:lang w:val="en-US"/>
              </w:rPr>
            </w:pPr>
          </w:p>
          <w:p w:rsidR="00741C34" w:rsidRPr="00855464" w:rsidRDefault="00741C34" w:rsidP="00566CDF">
            <w:pPr>
              <w:rPr>
                <w:rFonts w:ascii="Verdana" w:hAnsi="Verdana"/>
                <w:sz w:val="18"/>
                <w:szCs w:val="18"/>
                <w:lang w:val="en-US"/>
              </w:rPr>
            </w:pPr>
            <w:proofErr w:type="spellStart"/>
            <w:r w:rsidRPr="00855464">
              <w:rPr>
                <w:rFonts w:ascii="Verdana" w:hAnsi="Verdana"/>
                <w:sz w:val="18"/>
                <w:szCs w:val="18"/>
                <w:lang w:val="en-US"/>
              </w:rPr>
              <w:t>Natixis</w:t>
            </w:r>
            <w:proofErr w:type="spellEnd"/>
            <w:r>
              <w:rPr>
                <w:rFonts w:ascii="Verdana" w:hAnsi="Verdana"/>
                <w:sz w:val="18"/>
                <w:szCs w:val="18"/>
                <w:lang w:val="en-US"/>
              </w:rPr>
              <w:t>’</w:t>
            </w:r>
            <w:r w:rsidRPr="00855464">
              <w:rPr>
                <w:rFonts w:ascii="Verdana" w:hAnsi="Verdana"/>
                <w:sz w:val="18"/>
                <w:szCs w:val="18"/>
                <w:lang w:val="en-US"/>
              </w:rPr>
              <w:t xml:space="preserve"> CIB leverages the skills of its 4000 employees across the world to assist clients in France, in the EMEA region, in North, Central and South America and in the Asia-Pacific region.</w:t>
            </w:r>
          </w:p>
        </w:tc>
      </w:tr>
    </w:tbl>
    <w:p w:rsidR="006577A1" w:rsidRPr="00855464" w:rsidRDefault="006577A1" w:rsidP="006577A1">
      <w:pPr>
        <w:rPr>
          <w:rFonts w:ascii="Verdana" w:eastAsia="Times New Roman" w:hAnsi="Verdana"/>
          <w:b/>
          <w:i/>
          <w:color w:val="FF00FF"/>
          <w:sz w:val="18"/>
          <w:szCs w:val="18"/>
          <w:lang w:val="en-US"/>
        </w:rPr>
      </w:pPr>
      <w:r w:rsidRPr="00855464">
        <w:rPr>
          <w:rFonts w:ascii="Verdana" w:hAnsi="Verdana"/>
          <w:b/>
          <w:i/>
          <w:color w:val="FF00FF"/>
          <w:sz w:val="18"/>
          <w:szCs w:val="18"/>
          <w:lang w:val="en-US"/>
        </w:rPr>
        <w:t xml:space="preserve">Focus on the EMEA </w:t>
      </w:r>
      <w:proofErr w:type="spellStart"/>
      <w:r w:rsidRPr="00855464">
        <w:rPr>
          <w:rFonts w:ascii="Verdana" w:hAnsi="Verdana"/>
          <w:b/>
          <w:i/>
          <w:color w:val="FF00FF"/>
          <w:sz w:val="18"/>
          <w:szCs w:val="18"/>
          <w:lang w:val="en-US"/>
        </w:rPr>
        <w:t>platform</w:t>
      </w:r>
      <w:r>
        <w:rPr>
          <w:rFonts w:ascii="Verdana" w:hAnsi="Verdana"/>
          <w:b/>
          <w:i/>
          <w:color w:val="FF00FF"/>
          <w:sz w:val="18"/>
          <w:szCs w:val="18"/>
          <w:lang w:val="en-US"/>
        </w:rPr>
        <w:t>of</w:t>
      </w:r>
      <w:proofErr w:type="spellEnd"/>
      <w:r>
        <w:rPr>
          <w:rFonts w:ascii="Verdana" w:hAnsi="Verdana"/>
          <w:b/>
          <w:i/>
          <w:color w:val="FF00FF"/>
          <w:sz w:val="18"/>
          <w:szCs w:val="18"/>
          <w:lang w:val="en-US"/>
        </w:rPr>
        <w:t xml:space="preserve"> </w:t>
      </w:r>
      <w:proofErr w:type="spellStart"/>
      <w:r>
        <w:rPr>
          <w:rFonts w:ascii="Verdana" w:hAnsi="Verdana"/>
          <w:b/>
          <w:i/>
          <w:color w:val="FF00FF"/>
          <w:sz w:val="18"/>
          <w:szCs w:val="18"/>
          <w:lang w:val="en-US"/>
        </w:rPr>
        <w:t>Natixis</w:t>
      </w:r>
      <w:proofErr w:type="spellEnd"/>
      <w:r>
        <w:rPr>
          <w:rFonts w:ascii="Verdana" w:hAnsi="Verdana"/>
          <w:b/>
          <w:i/>
          <w:color w:val="FF00FF"/>
          <w:sz w:val="18"/>
          <w:szCs w:val="18"/>
          <w:lang w:val="en-US"/>
        </w:rPr>
        <w:t>’ CIB</w:t>
      </w:r>
    </w:p>
    <w:p w:rsidR="006577A1" w:rsidRPr="00855464" w:rsidRDefault="006577A1" w:rsidP="006577A1">
      <w:pPr>
        <w:rPr>
          <w:rFonts w:ascii="Verdana" w:hAnsi="Verdana"/>
          <w:sz w:val="18"/>
          <w:szCs w:val="18"/>
          <w:highlight w:val="yellow"/>
          <w:lang w:val="en-US"/>
        </w:rPr>
      </w:pPr>
      <w:r>
        <w:rPr>
          <w:rFonts w:ascii="Verdana" w:hAnsi="Verdana"/>
          <w:i/>
          <w:noProof/>
          <w:color w:val="7030A0"/>
          <w:sz w:val="18"/>
          <w:szCs w:val="18"/>
          <w:lang w:val="it-IT" w:eastAsia="it-IT"/>
        </w:rPr>
        <w:drawing>
          <wp:anchor distT="0" distB="0" distL="114300" distR="114300" simplePos="0" relativeHeight="251663360" behindDoc="1" locked="0" layoutInCell="1" allowOverlap="1" wp14:anchorId="288DCE91" wp14:editId="633A4FEA">
            <wp:simplePos x="0" y="0"/>
            <wp:positionH relativeFrom="column">
              <wp:posOffset>1905</wp:posOffset>
            </wp:positionH>
            <wp:positionV relativeFrom="paragraph">
              <wp:posOffset>143510</wp:posOffset>
            </wp:positionV>
            <wp:extent cx="840740" cy="926465"/>
            <wp:effectExtent l="0" t="0" r="0" b="6985"/>
            <wp:wrapTight wrapText="bothSides">
              <wp:wrapPolygon edited="0">
                <wp:start x="0" y="0"/>
                <wp:lineTo x="0" y="21319"/>
                <wp:lineTo x="21045" y="21319"/>
                <wp:lineTo x="2104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_DENAIN Pierre-Henri.jpg"/>
                    <pic:cNvPicPr/>
                  </pic:nvPicPr>
                  <pic:blipFill rotWithShape="1">
                    <a:blip r:embed="rId10" cstate="print">
                      <a:extLst>
                        <a:ext uri="{28A0092B-C50C-407E-A947-70E740481C1C}">
                          <a14:useLocalDpi xmlns:a14="http://schemas.microsoft.com/office/drawing/2010/main" val="0"/>
                        </a:ext>
                      </a:extLst>
                    </a:blip>
                    <a:srcRect b="26788"/>
                    <a:stretch/>
                  </pic:blipFill>
                  <pic:spPr bwMode="auto">
                    <a:xfrm>
                      <a:off x="0" y="0"/>
                      <a:ext cx="840740" cy="926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77A1" w:rsidRDefault="006577A1" w:rsidP="006577A1">
      <w:pPr>
        <w:jc w:val="both"/>
        <w:rPr>
          <w:rFonts w:ascii="Verdana" w:hAnsi="Verdana"/>
          <w:b/>
          <w:i/>
          <w:color w:val="7030A0"/>
          <w:sz w:val="18"/>
          <w:szCs w:val="18"/>
          <w:lang w:val="en-US"/>
        </w:rPr>
      </w:pPr>
      <w:r w:rsidRPr="00855464">
        <w:rPr>
          <w:rFonts w:ascii="Verdana" w:hAnsi="Verdana"/>
          <w:i/>
          <w:color w:val="7030A0"/>
          <w:sz w:val="18"/>
          <w:szCs w:val="18"/>
          <w:lang w:val="en-US"/>
        </w:rPr>
        <w:t>“</w:t>
      </w:r>
      <w:proofErr w:type="spellStart"/>
      <w:r w:rsidRPr="00855464">
        <w:rPr>
          <w:rFonts w:ascii="Verdana" w:hAnsi="Verdana"/>
          <w:i/>
          <w:color w:val="7030A0"/>
          <w:sz w:val="18"/>
          <w:szCs w:val="18"/>
          <w:lang w:val="en-US"/>
        </w:rPr>
        <w:t>Natixis</w:t>
      </w:r>
      <w:proofErr w:type="spellEnd"/>
      <w:r w:rsidRPr="00855464">
        <w:rPr>
          <w:rFonts w:ascii="Verdana" w:hAnsi="Verdana"/>
          <w:i/>
          <w:color w:val="7030A0"/>
          <w:sz w:val="18"/>
          <w:szCs w:val="18"/>
          <w:lang w:val="en-US"/>
        </w:rPr>
        <w:t xml:space="preserve"> has one of the best banking equity stories of recent years. To reinforce our international footprint, we are launching a pan European Graduate Program. The program will enhance the diversity of our international talent and introduce our Graduates not only to the various Business Lines of the Bank, but also to the heart of our European network“, said </w:t>
      </w:r>
      <w:r w:rsidRPr="00855464">
        <w:rPr>
          <w:rFonts w:ascii="Verdana" w:hAnsi="Verdana"/>
          <w:b/>
          <w:i/>
          <w:color w:val="7030A0"/>
          <w:sz w:val="18"/>
          <w:szCs w:val="18"/>
          <w:lang w:val="en-US"/>
        </w:rPr>
        <w:t xml:space="preserve">Pierre-Henri </w:t>
      </w:r>
      <w:proofErr w:type="spellStart"/>
      <w:r w:rsidRPr="00855464">
        <w:rPr>
          <w:rFonts w:ascii="Verdana" w:hAnsi="Verdana"/>
          <w:b/>
          <w:i/>
          <w:color w:val="7030A0"/>
          <w:sz w:val="18"/>
          <w:szCs w:val="18"/>
          <w:lang w:val="en-US"/>
        </w:rPr>
        <w:t>Denain</w:t>
      </w:r>
      <w:proofErr w:type="spellEnd"/>
      <w:r w:rsidRPr="00855464">
        <w:rPr>
          <w:rFonts w:ascii="Verdana" w:hAnsi="Verdana"/>
          <w:b/>
          <w:i/>
          <w:color w:val="7030A0"/>
          <w:sz w:val="18"/>
          <w:szCs w:val="18"/>
          <w:lang w:val="en-US"/>
        </w:rPr>
        <w:t>, Head of EMEA</w:t>
      </w:r>
    </w:p>
    <w:p w:rsidR="006577A1" w:rsidRDefault="006577A1" w:rsidP="006577A1">
      <w:pPr>
        <w:jc w:val="both"/>
        <w:rPr>
          <w:rFonts w:ascii="Verdana" w:hAnsi="Verdana"/>
          <w:b/>
          <w:i/>
          <w:color w:val="7030A0"/>
          <w:sz w:val="18"/>
          <w:szCs w:val="18"/>
          <w:lang w:val="en-US"/>
        </w:rPr>
      </w:pPr>
    </w:p>
    <w:p w:rsidR="006577A1" w:rsidRDefault="006577A1" w:rsidP="006577A1">
      <w:pPr>
        <w:jc w:val="both"/>
        <w:rPr>
          <w:rFonts w:ascii="Verdana" w:hAnsi="Verdana"/>
          <w:b/>
          <w:i/>
          <w:color w:val="7030A0"/>
          <w:sz w:val="18"/>
          <w:szCs w:val="18"/>
          <w:lang w:val="en-US"/>
        </w:rPr>
      </w:pPr>
    </w:p>
    <w:p w:rsidR="006577A1" w:rsidRDefault="006577A1" w:rsidP="006577A1">
      <w:pPr>
        <w:jc w:val="both"/>
        <w:rPr>
          <w:rFonts w:ascii="Verdana" w:hAnsi="Verdana"/>
          <w:b/>
          <w:i/>
          <w:color w:val="7030A0"/>
          <w:sz w:val="18"/>
          <w:szCs w:val="18"/>
          <w:lang w:val="en-US"/>
        </w:rPr>
      </w:pPr>
    </w:p>
    <w:p w:rsidR="006577A1" w:rsidRPr="00855464" w:rsidRDefault="006577A1" w:rsidP="006577A1">
      <w:pPr>
        <w:rPr>
          <w:rFonts w:ascii="Verdana" w:hAnsi="Verdana"/>
          <w:sz w:val="18"/>
          <w:szCs w:val="18"/>
          <w:lang w:val="en-US"/>
        </w:rPr>
      </w:pPr>
    </w:p>
    <w:p w:rsidR="006577A1" w:rsidRPr="00855464" w:rsidRDefault="006577A1" w:rsidP="006577A1">
      <w:pPr>
        <w:rPr>
          <w:rFonts w:ascii="Verdana" w:hAnsi="Verdana"/>
          <w:sz w:val="18"/>
          <w:szCs w:val="18"/>
          <w:lang w:val="en-US"/>
        </w:rPr>
      </w:pPr>
      <w:proofErr w:type="spellStart"/>
      <w:r w:rsidRPr="00855464">
        <w:rPr>
          <w:rFonts w:ascii="Verdana" w:hAnsi="Verdana"/>
          <w:sz w:val="18"/>
          <w:szCs w:val="18"/>
          <w:lang w:val="en-US"/>
        </w:rPr>
        <w:t>Natixis</w:t>
      </w:r>
      <w:r>
        <w:rPr>
          <w:rFonts w:ascii="Verdana" w:hAnsi="Verdana"/>
          <w:sz w:val="18"/>
          <w:szCs w:val="18"/>
          <w:lang w:val="en-US"/>
        </w:rPr>
        <w:t>’s</w:t>
      </w:r>
      <w:proofErr w:type="spellEnd"/>
      <w:r>
        <w:rPr>
          <w:rFonts w:ascii="Verdana" w:hAnsi="Verdana"/>
          <w:sz w:val="18"/>
          <w:szCs w:val="18"/>
          <w:lang w:val="en-US"/>
        </w:rPr>
        <w:t xml:space="preserve"> Wholesale Banking</w:t>
      </w:r>
      <w:r w:rsidRPr="00855464">
        <w:rPr>
          <w:rFonts w:ascii="Verdana" w:hAnsi="Verdana"/>
          <w:sz w:val="18"/>
          <w:szCs w:val="18"/>
          <w:lang w:val="en-US"/>
        </w:rPr>
        <w:t xml:space="preserve"> has operations in around one hundred countries of the EMEA region: approximately 550 employees, in five branches (London, Frankfurt, Milan, Madrid and Dubai), two subsidiaries (Moscow and Frankfurt) and two representative offices (Kazakhstan, Turkey).</w:t>
      </w:r>
    </w:p>
    <w:p w:rsidR="000E65AE" w:rsidRPr="000E65AE" w:rsidRDefault="000E65AE">
      <w:pPr>
        <w:rPr>
          <w:lang w:val="en-US"/>
        </w:rPr>
      </w:pPr>
    </w:p>
    <w:sectPr w:rsidR="000E65AE" w:rsidRPr="000E6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B53B4"/>
    <w:multiLevelType w:val="hybridMultilevel"/>
    <w:tmpl w:val="EAB81EEA"/>
    <w:lvl w:ilvl="0" w:tplc="5E507692">
      <w:start w:val="1"/>
      <w:numFmt w:val="bullet"/>
      <w:lvlText w:val="•"/>
      <w:lvlJc w:val="left"/>
      <w:pPr>
        <w:tabs>
          <w:tab w:val="num" w:pos="720"/>
        </w:tabs>
        <w:ind w:left="720" w:hanging="360"/>
      </w:pPr>
      <w:rPr>
        <w:rFonts w:ascii="Times New Roman" w:hAnsi="Times New Roman" w:cs="Times New Roman" w:hint="default"/>
      </w:rPr>
    </w:lvl>
    <w:lvl w:ilvl="1" w:tplc="25B02D58">
      <w:start w:val="1"/>
      <w:numFmt w:val="bullet"/>
      <w:lvlText w:val="•"/>
      <w:lvlJc w:val="left"/>
      <w:pPr>
        <w:tabs>
          <w:tab w:val="num" w:pos="1440"/>
        </w:tabs>
        <w:ind w:left="1440" w:hanging="360"/>
      </w:pPr>
      <w:rPr>
        <w:rFonts w:ascii="Times New Roman" w:hAnsi="Times New Roman" w:cs="Times New Roman" w:hint="default"/>
      </w:rPr>
    </w:lvl>
    <w:lvl w:ilvl="2" w:tplc="188ABC76">
      <w:start w:val="1"/>
      <w:numFmt w:val="bullet"/>
      <w:lvlText w:val="•"/>
      <w:lvlJc w:val="left"/>
      <w:pPr>
        <w:tabs>
          <w:tab w:val="num" w:pos="2160"/>
        </w:tabs>
        <w:ind w:left="2160" w:hanging="360"/>
      </w:pPr>
      <w:rPr>
        <w:rFonts w:ascii="Times New Roman" w:hAnsi="Times New Roman" w:cs="Times New Roman" w:hint="default"/>
      </w:rPr>
    </w:lvl>
    <w:lvl w:ilvl="3" w:tplc="93E403E8">
      <w:start w:val="1"/>
      <w:numFmt w:val="bullet"/>
      <w:lvlText w:val="•"/>
      <w:lvlJc w:val="left"/>
      <w:pPr>
        <w:tabs>
          <w:tab w:val="num" w:pos="2880"/>
        </w:tabs>
        <w:ind w:left="2880" w:hanging="360"/>
      </w:pPr>
      <w:rPr>
        <w:rFonts w:ascii="Times New Roman" w:hAnsi="Times New Roman" w:cs="Times New Roman" w:hint="default"/>
      </w:rPr>
    </w:lvl>
    <w:lvl w:ilvl="4" w:tplc="5B1A466E">
      <w:start w:val="1"/>
      <w:numFmt w:val="bullet"/>
      <w:lvlText w:val="•"/>
      <w:lvlJc w:val="left"/>
      <w:pPr>
        <w:tabs>
          <w:tab w:val="num" w:pos="3600"/>
        </w:tabs>
        <w:ind w:left="3600" w:hanging="360"/>
      </w:pPr>
      <w:rPr>
        <w:rFonts w:ascii="Times New Roman" w:hAnsi="Times New Roman" w:cs="Times New Roman" w:hint="default"/>
      </w:rPr>
    </w:lvl>
    <w:lvl w:ilvl="5" w:tplc="45F2A990">
      <w:start w:val="1"/>
      <w:numFmt w:val="bullet"/>
      <w:lvlText w:val="•"/>
      <w:lvlJc w:val="left"/>
      <w:pPr>
        <w:tabs>
          <w:tab w:val="num" w:pos="4320"/>
        </w:tabs>
        <w:ind w:left="4320" w:hanging="360"/>
      </w:pPr>
      <w:rPr>
        <w:rFonts w:ascii="Times New Roman" w:hAnsi="Times New Roman" w:cs="Times New Roman" w:hint="default"/>
      </w:rPr>
    </w:lvl>
    <w:lvl w:ilvl="6" w:tplc="783E5884">
      <w:start w:val="1"/>
      <w:numFmt w:val="bullet"/>
      <w:lvlText w:val="•"/>
      <w:lvlJc w:val="left"/>
      <w:pPr>
        <w:tabs>
          <w:tab w:val="num" w:pos="5040"/>
        </w:tabs>
        <w:ind w:left="5040" w:hanging="360"/>
      </w:pPr>
      <w:rPr>
        <w:rFonts w:ascii="Times New Roman" w:hAnsi="Times New Roman" w:cs="Times New Roman" w:hint="default"/>
      </w:rPr>
    </w:lvl>
    <w:lvl w:ilvl="7" w:tplc="21F4F854">
      <w:start w:val="1"/>
      <w:numFmt w:val="bullet"/>
      <w:lvlText w:val="•"/>
      <w:lvlJc w:val="left"/>
      <w:pPr>
        <w:tabs>
          <w:tab w:val="num" w:pos="5760"/>
        </w:tabs>
        <w:ind w:left="5760" w:hanging="360"/>
      </w:pPr>
      <w:rPr>
        <w:rFonts w:ascii="Times New Roman" w:hAnsi="Times New Roman" w:cs="Times New Roman" w:hint="default"/>
      </w:rPr>
    </w:lvl>
    <w:lvl w:ilvl="8" w:tplc="793A09D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6134485E"/>
    <w:multiLevelType w:val="hybridMultilevel"/>
    <w:tmpl w:val="E2822CB6"/>
    <w:lvl w:ilvl="0" w:tplc="BACEE6E2">
      <w:start w:val="1"/>
      <w:numFmt w:val="bullet"/>
      <w:lvlText w:val="•"/>
      <w:lvlJc w:val="left"/>
      <w:pPr>
        <w:tabs>
          <w:tab w:val="num" w:pos="720"/>
        </w:tabs>
        <w:ind w:left="720" w:hanging="360"/>
      </w:pPr>
      <w:rPr>
        <w:rFonts w:ascii="Times New Roman" w:hAnsi="Times New Roman" w:cs="Times New Roman" w:hint="default"/>
      </w:rPr>
    </w:lvl>
    <w:lvl w:ilvl="1" w:tplc="0358A5CC">
      <w:start w:val="1"/>
      <w:numFmt w:val="bullet"/>
      <w:lvlText w:val="•"/>
      <w:lvlJc w:val="left"/>
      <w:pPr>
        <w:tabs>
          <w:tab w:val="num" w:pos="1440"/>
        </w:tabs>
        <w:ind w:left="1440" w:hanging="360"/>
      </w:pPr>
      <w:rPr>
        <w:rFonts w:ascii="Times New Roman" w:hAnsi="Times New Roman" w:cs="Times New Roman" w:hint="default"/>
      </w:rPr>
    </w:lvl>
    <w:lvl w:ilvl="2" w:tplc="130E813A">
      <w:start w:val="1"/>
      <w:numFmt w:val="bullet"/>
      <w:lvlText w:val="•"/>
      <w:lvlJc w:val="left"/>
      <w:pPr>
        <w:tabs>
          <w:tab w:val="num" w:pos="2160"/>
        </w:tabs>
        <w:ind w:left="2160" w:hanging="360"/>
      </w:pPr>
      <w:rPr>
        <w:rFonts w:ascii="Times New Roman" w:hAnsi="Times New Roman" w:cs="Times New Roman" w:hint="default"/>
      </w:rPr>
    </w:lvl>
    <w:lvl w:ilvl="3" w:tplc="F95E3C76">
      <w:start w:val="1"/>
      <w:numFmt w:val="bullet"/>
      <w:lvlText w:val="•"/>
      <w:lvlJc w:val="left"/>
      <w:pPr>
        <w:tabs>
          <w:tab w:val="num" w:pos="2880"/>
        </w:tabs>
        <w:ind w:left="2880" w:hanging="360"/>
      </w:pPr>
      <w:rPr>
        <w:rFonts w:ascii="Times New Roman" w:hAnsi="Times New Roman" w:cs="Times New Roman" w:hint="default"/>
      </w:rPr>
    </w:lvl>
    <w:lvl w:ilvl="4" w:tplc="00AE5E44">
      <w:start w:val="1"/>
      <w:numFmt w:val="bullet"/>
      <w:lvlText w:val="•"/>
      <w:lvlJc w:val="left"/>
      <w:pPr>
        <w:tabs>
          <w:tab w:val="num" w:pos="3600"/>
        </w:tabs>
        <w:ind w:left="3600" w:hanging="360"/>
      </w:pPr>
      <w:rPr>
        <w:rFonts w:ascii="Times New Roman" w:hAnsi="Times New Roman" w:cs="Times New Roman" w:hint="default"/>
      </w:rPr>
    </w:lvl>
    <w:lvl w:ilvl="5" w:tplc="CB08ABD8">
      <w:start w:val="1"/>
      <w:numFmt w:val="bullet"/>
      <w:lvlText w:val="•"/>
      <w:lvlJc w:val="left"/>
      <w:pPr>
        <w:tabs>
          <w:tab w:val="num" w:pos="4320"/>
        </w:tabs>
        <w:ind w:left="4320" w:hanging="360"/>
      </w:pPr>
      <w:rPr>
        <w:rFonts w:ascii="Times New Roman" w:hAnsi="Times New Roman" w:cs="Times New Roman" w:hint="default"/>
      </w:rPr>
    </w:lvl>
    <w:lvl w:ilvl="6" w:tplc="F8A8DC00">
      <w:start w:val="1"/>
      <w:numFmt w:val="bullet"/>
      <w:lvlText w:val="•"/>
      <w:lvlJc w:val="left"/>
      <w:pPr>
        <w:tabs>
          <w:tab w:val="num" w:pos="5040"/>
        </w:tabs>
        <w:ind w:left="5040" w:hanging="360"/>
      </w:pPr>
      <w:rPr>
        <w:rFonts w:ascii="Times New Roman" w:hAnsi="Times New Roman" w:cs="Times New Roman" w:hint="default"/>
      </w:rPr>
    </w:lvl>
    <w:lvl w:ilvl="7" w:tplc="6B889A9C">
      <w:start w:val="1"/>
      <w:numFmt w:val="bullet"/>
      <w:lvlText w:val="•"/>
      <w:lvlJc w:val="left"/>
      <w:pPr>
        <w:tabs>
          <w:tab w:val="num" w:pos="5760"/>
        </w:tabs>
        <w:ind w:left="5760" w:hanging="360"/>
      </w:pPr>
      <w:rPr>
        <w:rFonts w:ascii="Times New Roman" w:hAnsi="Times New Roman" w:cs="Times New Roman" w:hint="default"/>
      </w:rPr>
    </w:lvl>
    <w:lvl w:ilvl="8" w:tplc="E29AC54C">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642C269C"/>
    <w:multiLevelType w:val="hybridMultilevel"/>
    <w:tmpl w:val="DBEED17E"/>
    <w:lvl w:ilvl="0" w:tplc="F18E596C">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5AE"/>
    <w:rsid w:val="000E65AE"/>
    <w:rsid w:val="002333FE"/>
    <w:rsid w:val="002D7A1D"/>
    <w:rsid w:val="004F452D"/>
    <w:rsid w:val="006577A1"/>
    <w:rsid w:val="00741C34"/>
    <w:rsid w:val="00AF6A02"/>
    <w:rsid w:val="00B60700"/>
    <w:rsid w:val="00C86EDD"/>
    <w:rsid w:val="00E72D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E65AE"/>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65AE"/>
    <w:pPr>
      <w:ind w:left="720"/>
      <w:contextualSpacing/>
    </w:pPr>
  </w:style>
  <w:style w:type="character" w:styleId="Collegamentoipertestuale">
    <w:name w:val="Hyperlink"/>
    <w:rsid w:val="000E65AE"/>
    <w:rPr>
      <w:color w:val="0000FF"/>
      <w:u w:val="single"/>
    </w:rPr>
  </w:style>
  <w:style w:type="paragraph" w:styleId="Testofumetto">
    <w:name w:val="Balloon Text"/>
    <w:basedOn w:val="Normale"/>
    <w:link w:val="TestofumettoCarattere"/>
    <w:rsid w:val="00AF6A02"/>
    <w:rPr>
      <w:rFonts w:ascii="Tahoma" w:hAnsi="Tahoma" w:cs="Tahoma"/>
      <w:sz w:val="16"/>
      <w:szCs w:val="16"/>
    </w:rPr>
  </w:style>
  <w:style w:type="character" w:customStyle="1" w:styleId="TestofumettoCarattere">
    <w:name w:val="Testo fumetto Carattere"/>
    <w:basedOn w:val="Carpredefinitoparagrafo"/>
    <w:link w:val="Testofumetto"/>
    <w:rsid w:val="00AF6A02"/>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E65AE"/>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65AE"/>
    <w:pPr>
      <w:ind w:left="720"/>
      <w:contextualSpacing/>
    </w:pPr>
  </w:style>
  <w:style w:type="character" w:styleId="Collegamentoipertestuale">
    <w:name w:val="Hyperlink"/>
    <w:rsid w:val="000E65AE"/>
    <w:rPr>
      <w:color w:val="0000FF"/>
      <w:u w:val="single"/>
    </w:rPr>
  </w:style>
  <w:style w:type="paragraph" w:styleId="Testofumetto">
    <w:name w:val="Balloon Text"/>
    <w:basedOn w:val="Normale"/>
    <w:link w:val="TestofumettoCarattere"/>
    <w:rsid w:val="00AF6A02"/>
    <w:rPr>
      <w:rFonts w:ascii="Tahoma" w:hAnsi="Tahoma" w:cs="Tahoma"/>
      <w:sz w:val="16"/>
      <w:szCs w:val="16"/>
    </w:rPr>
  </w:style>
  <w:style w:type="character" w:customStyle="1" w:styleId="TestofumettoCarattere">
    <w:name w:val="Testo fumetto Carattere"/>
    <w:basedOn w:val="Carpredefinitoparagrafo"/>
    <w:link w:val="Testofumetto"/>
    <w:rsid w:val="00AF6A02"/>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xis.com" TargetMode="External"/><Relationship Id="rId3" Type="http://schemas.microsoft.com/office/2007/relationships/stylesWithEffects" Target="stylesWithEffects.xml"/><Relationship Id="rId7" Type="http://schemas.openxmlformats.org/officeDocument/2006/relationships/hyperlink" Target="http://www.natixi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graduateprogram@natixi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4243</Characters>
  <Application>Microsoft Office Word</Application>
  <DocSecurity>0</DocSecurity>
  <Lines>35</Lines>
  <Paragraphs>9</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Natixis</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Affeter Sabine</dc:creator>
  <cp:lastModifiedBy>pmusilli</cp:lastModifiedBy>
  <cp:revision>2</cp:revision>
  <dcterms:created xsi:type="dcterms:W3CDTF">2015-03-18T08:28:00Z</dcterms:created>
  <dcterms:modified xsi:type="dcterms:W3CDTF">2015-03-18T08:28:00Z</dcterms:modified>
</cp:coreProperties>
</file>